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ind w:left="720" w:firstLine="0"/>
        <w:jc w:val="center"/>
        <w:rPr/>
      </w:pPr>
      <w:r w:rsidDel="00000000" w:rsidR="00000000" w:rsidRPr="00000000">
        <w:rPr/>
        <w:drawing>
          <wp:anchor allowOverlap="1" behindDoc="1" distB="0" distT="0" distL="0" distR="0" hidden="0" layoutInCell="1" locked="0" relativeHeight="0" simplePos="0">
            <wp:simplePos x="0" y="0"/>
            <wp:positionH relativeFrom="margin">
              <wp:posOffset>-909633</wp:posOffset>
            </wp:positionH>
            <wp:positionV relativeFrom="margin">
              <wp:posOffset>-804859</wp:posOffset>
            </wp:positionV>
            <wp:extent cx="7577249" cy="10772775"/>
            <wp:effectExtent b="0" l="0" r="0" t="0"/>
            <wp:wrapNone/>
            <wp:docPr id="1" name="image19.jpg"/>
            <a:graphic>
              <a:graphicData uri="http://schemas.openxmlformats.org/drawingml/2006/picture">
                <pic:pic>
                  <pic:nvPicPr>
                    <pic:cNvPr id="0" name="image19.jpg"/>
                    <pic:cNvPicPr preferRelativeResize="0"/>
                  </pic:nvPicPr>
                  <pic:blipFill>
                    <a:blip r:embed="rId6"/>
                    <a:srcRect b="0" l="0" r="0" t="2991"/>
                    <a:stretch>
                      <a:fillRect/>
                    </a:stretch>
                  </pic:blipFill>
                  <pic:spPr>
                    <a:xfrm>
                      <a:off x="0" y="0"/>
                      <a:ext cx="7577249" cy="107727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ind w:left="720" w:firstLine="0"/>
        <w:rPr>
          <w:rFonts w:ascii="Impact" w:cs="Impact" w:eastAsia="Impact" w:hAnsi="Impact"/>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05">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METAS NACIONAIS </w:t>
      </w:r>
    </w:p>
    <w:p w:rsidR="00000000" w:rsidDel="00000000" w:rsidP="00000000" w:rsidRDefault="00000000" w:rsidRPr="00000000" w14:paraId="00000006">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do Poder Judiciário e</w:t>
      </w:r>
    </w:p>
    <w:p w:rsidR="00000000" w:rsidDel="00000000" w:rsidP="00000000" w:rsidRDefault="00000000" w:rsidRPr="00000000" w14:paraId="00000007">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METAS ESPECÍFICAS </w:t>
      </w:r>
    </w:p>
    <w:p w:rsidR="00000000" w:rsidDel="00000000" w:rsidP="00000000" w:rsidRDefault="00000000" w:rsidRPr="00000000" w14:paraId="00000008">
      <w:pPr>
        <w:spacing w:line="240" w:lineRule="auto"/>
        <w:ind w:left="0" w:firstLine="0"/>
        <w:jc w:val="center"/>
        <w:rPr>
          <w:rFonts w:ascii="Impact" w:cs="Impact" w:eastAsia="Impact" w:hAnsi="Impact"/>
          <w:color w:val="073763"/>
          <w:sz w:val="60"/>
          <w:szCs w:val="60"/>
        </w:rPr>
      </w:pPr>
      <w:r w:rsidDel="00000000" w:rsidR="00000000" w:rsidRPr="00000000">
        <w:rPr>
          <w:rFonts w:ascii="Impact" w:cs="Impact" w:eastAsia="Impact" w:hAnsi="Impact"/>
          <w:color w:val="073763"/>
          <w:sz w:val="60"/>
          <w:szCs w:val="60"/>
          <w:rtl w:val="0"/>
        </w:rPr>
        <w:t xml:space="preserve">da Justiça do Trabalho </w:t>
      </w:r>
    </w:p>
    <w:p w:rsidR="00000000" w:rsidDel="00000000" w:rsidP="00000000" w:rsidRDefault="00000000" w:rsidRPr="00000000" w14:paraId="00000009">
      <w:pPr>
        <w:spacing w:line="240" w:lineRule="auto"/>
        <w:ind w:left="0" w:firstLine="0"/>
        <w:jc w:val="center"/>
        <w:rPr>
          <w:rFonts w:ascii="Arial" w:cs="Arial" w:eastAsia="Arial" w:hAnsi="Arial"/>
          <w:b w:val="1"/>
          <w:bCs w:val="1"/>
          <w:color w:val="002a6d"/>
        </w:rPr>
      </w:pPr>
      <w:r w:rsidDel="00000000" w:rsidR="00000000" w:rsidRPr="00000000">
        <w:rPr>
          <w:rFonts w:ascii="Impact" w:cs="Impact" w:eastAsia="Impact" w:hAnsi="Impact"/>
          <w:color w:val="073763"/>
          <w:sz w:val="60"/>
          <w:szCs w:val="60"/>
          <w:rtl w:val="0"/>
        </w:rPr>
        <w:t xml:space="preserve"> 2026</w:t>
      </w:r>
      <w:r w:rsidDel="00000000" w:rsidR="00000000" w:rsidRPr="00000000">
        <w:rPr>
          <w:rtl w:val="0"/>
        </w:rPr>
      </w:r>
    </w:p>
    <w:p w:rsidR="00000000" w:rsidDel="00000000" w:rsidP="00000000" w:rsidRDefault="00000000" w:rsidRPr="00000000" w14:paraId="0000000A">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B">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C">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D">
      <w:pPr>
        <w:spacing w:line="240" w:lineRule="auto"/>
        <w:jc w:val="center"/>
        <w:rPr>
          <w:rFonts w:ascii="Arial" w:cs="Arial" w:eastAsia="Arial" w:hAnsi="Arial"/>
          <w:b w:val="1"/>
          <w:bCs w:val="1"/>
          <w:color w:val="002a6d"/>
          <w:highlight w:val="yellow"/>
        </w:rPr>
      </w:pPr>
      <w:r w:rsidDel="00000000" w:rsidR="00000000" w:rsidRPr="00000000">
        <w:rPr>
          <w:rtl w:val="0"/>
        </w:rPr>
      </w:r>
    </w:p>
    <w:p w:rsidR="00000000" w:rsidDel="00000000" w:rsidP="00000000" w:rsidRDefault="00000000" w:rsidRPr="00000000" w14:paraId="0000000E">
      <w:pPr>
        <w:spacing w:line="240" w:lineRule="auto"/>
        <w:jc w:val="center"/>
        <w:rPr>
          <w:rFonts w:ascii="Arial" w:cs="Arial" w:eastAsia="Arial" w:hAnsi="Arial"/>
          <w:b w:val="1"/>
          <w:bCs w:val="1"/>
          <w:color w:val="002a6d"/>
        </w:rPr>
      </w:pPr>
      <w:r w:rsidDel="00000000" w:rsidR="00000000" w:rsidRPr="00000000">
        <w:rPr>
          <w:rtl w:val="0"/>
        </w:rPr>
      </w:r>
    </w:p>
    <w:p w:rsidR="00000000" w:rsidDel="00000000" w:rsidP="00000000" w:rsidRDefault="00000000" w:rsidRPr="00000000" w14:paraId="0000000F">
      <w:pPr>
        <w:spacing w:line="240" w:lineRule="auto"/>
        <w:jc w:val="center"/>
        <w:rPr>
          <w:rFonts w:ascii="Arial" w:cs="Arial" w:eastAsia="Arial" w:hAnsi="Arial"/>
          <w:b w:val="1"/>
          <w:bCs w:val="1"/>
          <w:color w:val="002a6d"/>
        </w:rPr>
      </w:pPr>
      <w:r w:rsidDel="00000000" w:rsidR="00000000" w:rsidRPr="00000000">
        <w:rPr>
          <w:rFonts w:ascii="Arial" w:cs="Arial" w:eastAsia="Arial" w:hAnsi="Arial"/>
          <w:b w:val="1"/>
          <w:bCs w:val="1"/>
          <w:color w:val="002a6d"/>
          <w:rtl w:val="0"/>
        </w:rPr>
        <w:t xml:space="preserve">Os resultados das metas nacionais 1, 2, 3 e 5 e da meta específica 3, referentes a janeiro a agosto de 2026, foram extraídos do </w:t>
      </w:r>
      <w:hyperlink r:id="rId7">
        <w:r w:rsidDel="00000000" w:rsidR="00000000" w:rsidRPr="00000000">
          <w:rPr>
            <w:rFonts w:ascii="Arial" w:cs="Arial" w:eastAsia="Arial" w:hAnsi="Arial"/>
            <w:b w:val="1"/>
            <w:bCs w:val="1"/>
            <w:color w:val="002a6d"/>
            <w:u w:val="single"/>
            <w:rtl w:val="0"/>
          </w:rPr>
          <w:t xml:space="preserve">Painel CSJT</w:t>
        </w:r>
      </w:hyperlink>
      <w:r w:rsidDel="00000000" w:rsidR="00000000" w:rsidRPr="00000000">
        <w:rPr>
          <w:rFonts w:ascii="Arial" w:cs="Arial" w:eastAsia="Arial" w:hAnsi="Arial"/>
          <w:b w:val="1"/>
          <w:bCs w:val="1"/>
          <w:color w:val="002a6d"/>
          <w:rtl w:val="0"/>
        </w:rPr>
        <w:t xml:space="preserve">.</w:t>
      </w:r>
    </w:p>
    <w:p w:rsidR="00000000" w:rsidDel="00000000" w:rsidP="00000000" w:rsidRDefault="00000000" w:rsidRPr="00000000" w14:paraId="00000010">
      <w:pPr>
        <w:spacing w:line="240" w:lineRule="auto"/>
        <w:jc w:val="center"/>
        <w:rPr>
          <w:rFonts w:ascii="Nunito" w:cs="Nunito" w:eastAsia="Nunito" w:hAnsi="Nunito"/>
          <w:b w:val="1"/>
          <w:bCs w:val="1"/>
          <w:color w:val="073763"/>
          <w:sz w:val="60"/>
          <w:szCs w:val="60"/>
        </w:rPr>
      </w:pPr>
      <w:r w:rsidDel="00000000" w:rsidR="00000000" w:rsidRPr="00000000">
        <w:rPr>
          <w:rFonts w:ascii="Arial" w:cs="Arial" w:eastAsia="Arial" w:hAnsi="Arial"/>
          <w:b w:val="1"/>
          <w:bCs w:val="1"/>
          <w:color w:val="002a6d"/>
          <w:rtl w:val="0"/>
        </w:rPr>
        <w:t xml:space="preserve">(atualizado em 11/09/2026)</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ind w:left="0" w:firstLine="0"/>
        <w:jc w:val="center"/>
        <w:rPr>
          <w:rFonts w:ascii="Nunito" w:cs="Nunito" w:eastAsia="Nunito" w:hAnsi="Nunito"/>
          <w:color w:val="073763"/>
          <w:sz w:val="60"/>
          <w:szCs w:val="60"/>
          <w:highlight w:val="yellow"/>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ind w:left="0" w:firstLine="0"/>
        <w:jc w:val="left"/>
        <w:rPr>
          <w:rFonts w:ascii="Nunito" w:cs="Nunito" w:eastAsia="Nunito" w:hAnsi="Nunito"/>
          <w:color w:val="073763"/>
          <w:sz w:val="60"/>
          <w:szCs w:val="60"/>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ind w:left="0" w:firstLine="0"/>
        <w:jc w:val="left"/>
        <w:rPr/>
      </w:pPr>
      <w:r w:rsidDel="00000000" w:rsidR="00000000" w:rsidRPr="00000000">
        <w:rPr>
          <w:rtl w:val="0"/>
        </w:rPr>
      </w:r>
    </w:p>
    <w:p w:rsidR="00000000" w:rsidDel="00000000" w:rsidP="00000000" w:rsidRDefault="00000000" w:rsidRPr="00000000" w14:paraId="00000014">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5">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6">
      <w:pPr>
        <w:ind w:left="0" w:firstLine="0"/>
        <w:rPr>
          <w:rFonts w:ascii="Arial" w:cs="Arial" w:eastAsia="Arial" w:hAnsi="Arial"/>
          <w:b w:val="1"/>
          <w:bCs w:val="1"/>
          <w:color w:val="027aa7"/>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671513</wp:posOffset>
            </wp:positionH>
            <wp:positionV relativeFrom="paragraph">
              <wp:posOffset>114300</wp:posOffset>
            </wp:positionV>
            <wp:extent cx="4600688" cy="1009650"/>
            <wp:effectExtent b="0" l="0" r="0" t="0"/>
            <wp:wrapSquare wrapText="bothSides" distB="114300" distT="114300" distL="114300" distR="114300"/>
            <wp:docPr id="19"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4600688" cy="1009650"/>
                    </a:xfrm>
                    <a:prstGeom prst="rect"/>
                    <a:ln/>
                  </pic:spPr>
                </pic:pic>
              </a:graphicData>
            </a:graphic>
          </wp:anchor>
        </w:drawing>
      </w:r>
    </w:p>
    <w:p w:rsidR="00000000" w:rsidDel="00000000" w:rsidP="00000000" w:rsidRDefault="00000000" w:rsidRPr="00000000" w14:paraId="00000017">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8">
      <w:pPr>
        <w:ind w:left="0" w:firstLine="0"/>
        <w:rPr>
          <w:rFonts w:ascii="Arial" w:cs="Arial" w:eastAsia="Arial" w:hAnsi="Arial"/>
          <w:b w:val="1"/>
          <w:bCs w:val="1"/>
          <w:color w:val="027aa7"/>
          <w:sz w:val="24"/>
          <w:szCs w:val="24"/>
        </w:rPr>
      </w:pPr>
      <w:r w:rsidDel="00000000" w:rsidR="00000000" w:rsidRPr="00000000">
        <w:rPr>
          <w:rtl w:val="0"/>
        </w:rPr>
      </w:r>
    </w:p>
    <w:p w:rsidR="00000000" w:rsidDel="00000000" w:rsidP="00000000" w:rsidRDefault="00000000" w:rsidRPr="00000000" w14:paraId="00000019">
      <w:pPr>
        <w:spacing w:after="200" w:before="200" w:line="335.99999999999994" w:lineRule="auto"/>
        <w:ind w:left="0" w:firstLine="0"/>
        <w:rPr>
          <w:rFonts w:ascii="Arial" w:cs="Arial" w:eastAsia="Arial" w:hAnsi="Arial"/>
          <w:b w:val="1"/>
          <w:bCs w:val="1"/>
          <w:color w:val="027aa7"/>
          <w:sz w:val="16"/>
          <w:szCs w:val="16"/>
        </w:rPr>
      </w:pPr>
      <w:r w:rsidDel="00000000" w:rsidR="00000000" w:rsidRPr="00000000">
        <w:rPr>
          <w:rtl w:val="0"/>
        </w:rPr>
      </w:r>
    </w:p>
    <w:p w:rsidR="00000000" w:rsidDel="00000000" w:rsidP="00000000" w:rsidRDefault="00000000" w:rsidRPr="00000000" w14:paraId="0000001A">
      <w:pPr>
        <w:spacing w:after="200" w:before="2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JULGAR MAIS PROCESSOS QUE OS DISTRIBUÍDOS:</w:t>
      </w:r>
    </w:p>
    <w:p w:rsidR="00000000" w:rsidDel="00000000" w:rsidP="00000000" w:rsidRDefault="00000000" w:rsidRPr="00000000" w14:paraId="0000001B">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Julgar quantidade maior de processos de conhecimento do que os distribuídos de 20/12/2025 a 19/12/2026, excluídos os suspensos e sobrestados de 20/12/2025 a 19/12/2026.</w:t>
      </w:r>
    </w:p>
    <w:p w:rsidR="00000000" w:rsidDel="00000000" w:rsidP="00000000" w:rsidRDefault="00000000" w:rsidRPr="00000000" w14:paraId="0000001C">
      <w:pPr>
        <w:numPr>
          <w:ilvl w:val="0"/>
          <w:numId w:val="6"/>
        </w:numPr>
        <w:spacing w:before="0" w:line="276" w:lineRule="auto"/>
        <w:ind w:left="72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02324f"/>
          <w:sz w:val="24"/>
          <w:szCs w:val="24"/>
          <w:rtl w:val="0"/>
        </w:rPr>
        <w:t xml:space="preserve">Cláusula de Barreira:</w:t>
      </w:r>
      <w:r w:rsidDel="00000000" w:rsidR="00000000" w:rsidRPr="00000000">
        <w:rPr>
          <w:rFonts w:ascii="Arial" w:cs="Arial" w:eastAsia="Arial" w:hAnsi="Arial"/>
          <w:b w:val="1"/>
          <w:bCs w:val="1"/>
          <w:color w:val="027aa7"/>
          <w:sz w:val="24"/>
          <w:szCs w:val="24"/>
          <w:rtl w:val="0"/>
        </w:rPr>
        <w:t xml:space="preserve"> </w:t>
      </w:r>
      <w:r w:rsidDel="00000000" w:rsidR="00000000" w:rsidRPr="00000000">
        <w:rPr>
          <w:rFonts w:ascii="Arial" w:cs="Arial" w:eastAsia="Arial" w:hAnsi="Arial"/>
          <w:color w:val="000000"/>
          <w:sz w:val="24"/>
          <w:szCs w:val="24"/>
          <w:rtl w:val="0"/>
        </w:rPr>
        <w:t xml:space="preserve">Taxa de Congestionamento Líquida na Fase de Conhecimento do Justiça em Números, em 2026, menor que 40%.</w:t>
      </w:r>
    </w:p>
    <w:p w:rsidR="00000000" w:rsidDel="00000000" w:rsidP="00000000" w:rsidRDefault="00000000" w:rsidRPr="00000000" w14:paraId="0000001D">
      <w:pPr>
        <w:spacing w:before="0" w:line="276" w:lineRule="auto"/>
        <w:ind w:left="0" w:right="19.1338582677173"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1E">
      <w:pPr>
        <w:spacing w:after="200"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OBJETIVO ESTRATÉGICO:</w:t>
      </w:r>
    </w:p>
    <w:p w:rsidR="00000000" w:rsidDel="00000000" w:rsidP="00000000" w:rsidRDefault="00000000" w:rsidRPr="00000000" w14:paraId="0000001F">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20">
      <w:pPr>
        <w:spacing w:before="0" w:line="240" w:lineRule="auto"/>
        <w:ind w:left="0" w:right="-14.330708661418612"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1">
      <w:pPr>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022">
      <w:pPr>
        <w:ind w:left="0" w:firstLine="0"/>
        <w:rPr>
          <w:rFonts w:ascii="Arial" w:cs="Arial" w:eastAsia="Arial" w:hAnsi="Arial"/>
          <w:b w:val="1"/>
          <w:bCs w:val="1"/>
          <w:color w:val="027aa7"/>
          <w:sz w:val="2"/>
          <w:szCs w:val="2"/>
          <w:highlight w:val="yellow"/>
        </w:rPr>
      </w:pPr>
      <w:r w:rsidDel="00000000" w:rsidR="00000000" w:rsidRPr="00000000">
        <w:rPr>
          <w:rtl w:val="0"/>
        </w:rPr>
      </w:r>
    </w:p>
    <w:tbl>
      <w:tblPr>
        <w:tblStyle w:val="Table1"/>
        <w:tblW w:w="936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1695"/>
        <w:gridCol w:w="1435.0000000000002"/>
        <w:gridCol w:w="1234.9999999999998"/>
        <w:gridCol w:w="2205"/>
        <w:tblGridChange w:id="0">
          <w:tblGrid>
            <w:gridCol w:w="1140"/>
            <w:gridCol w:w="1650"/>
            <w:gridCol w:w="1695"/>
            <w:gridCol w:w="1435.0000000000002"/>
            <w:gridCol w:w="1234.9999999999998"/>
            <w:gridCol w:w="220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3">
            <w:pPr>
              <w:widowControl w:val="0"/>
              <w:spacing w:before="0" w:line="240" w:lineRule="auto"/>
              <w:ind w:left="0" w:firstLine="0"/>
              <w:jc w:val="center"/>
              <w:rPr>
                <w:rFonts w:ascii="Arial" w:cs="Arial" w:eastAsia="Arial" w:hAnsi="Arial"/>
                <w:color w:val="ffffff"/>
                <w:highlight w:val="yellow"/>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4">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IPJ </w:t>
            </w:r>
          </w:p>
          <w:p w:rsidR="00000000" w:rsidDel="00000000" w:rsidP="00000000" w:rsidRDefault="00000000" w:rsidRPr="00000000" w14:paraId="00000025">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100%)</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 distribuídos</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julgados</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8">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Saldo</w:t>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bottom"/>
          </w:tcPr>
          <w:p w:rsidR="00000000" w:rsidDel="00000000" w:rsidP="00000000" w:rsidRDefault="00000000" w:rsidRPr="00000000" w14:paraId="00000029">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TCL na Fase de Conhecimento (C.B &lt; 40%)</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2A">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85,74%</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115.100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98.683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16.417</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59,09%</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30">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92,76%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59.359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55.064</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4.295</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53,18%</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3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88,13%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174.459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153.747</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20.712</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57,21%</w:t>
            </w:r>
          </w:p>
        </w:tc>
      </w:tr>
    </w:tbl>
    <w:p w:rsidR="00000000" w:rsidDel="00000000" w:rsidP="00000000" w:rsidRDefault="00000000" w:rsidRPr="00000000" w14:paraId="0000003C">
      <w:pPr>
        <w:spacing w:before="0" w:line="240" w:lineRule="auto"/>
        <w:ind w:left="0" w:firstLine="0"/>
        <w:jc w:val="center"/>
        <w:rPr>
          <w:b w:val="1"/>
          <w:bCs w:val="1"/>
          <w:color w:val="000000"/>
          <w:sz w:val="40"/>
          <w:szCs w:val="40"/>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1155700</wp:posOffset>
            </wp:positionH>
            <wp:positionV relativeFrom="paragraph">
              <wp:posOffset>358775</wp:posOffset>
            </wp:positionV>
            <wp:extent cx="3903584" cy="2269078"/>
            <wp:effectExtent b="0" l="0" r="0" t="0"/>
            <wp:wrapNone/>
            <wp:docPr id="7"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3903584" cy="2269078"/>
                    </a:xfrm>
                    <a:prstGeom prst="rect"/>
                    <a:ln/>
                  </pic:spPr>
                </pic:pic>
              </a:graphicData>
            </a:graphic>
          </wp:anchor>
        </w:drawing>
      </w:r>
    </w:p>
    <w:p w:rsidR="00000000" w:rsidDel="00000000" w:rsidP="00000000" w:rsidRDefault="00000000" w:rsidRPr="00000000" w14:paraId="0000003D">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3E">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3F">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0">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1">
      <w:pPr>
        <w:spacing w:before="0" w:line="240" w:lineRule="auto"/>
        <w:ind w:left="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2">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3">
      <w:pPr>
        <w:spacing w:before="0" w:line="240" w:lineRule="auto"/>
        <w:ind w:left="0" w:firstLine="0"/>
        <w:jc w:val="left"/>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4">
      <w:pPr>
        <w:spacing w:before="0" w:line="276" w:lineRule="auto"/>
        <w:ind w:left="0" w:right="19.1338582677173" w:firstLine="0"/>
        <w:jc w:val="both"/>
        <w:rPr>
          <w:rFonts w:ascii="Arial" w:cs="Arial" w:eastAsia="Arial" w:hAnsi="Arial"/>
          <w:b w:val="1"/>
          <w:bCs w:val="1"/>
          <w:color w:val="027aa7"/>
          <w:sz w:val="2"/>
          <w:szCs w:val="2"/>
          <w:highlight w:val="yellow"/>
        </w:rPr>
      </w:pPr>
      <w:r w:rsidDel="00000000" w:rsidR="00000000" w:rsidRPr="00000000">
        <w:rPr>
          <w:rtl w:val="0"/>
        </w:rPr>
      </w:r>
    </w:p>
    <w:p w:rsidR="00000000" w:rsidDel="00000000" w:rsidP="00000000" w:rsidRDefault="00000000" w:rsidRPr="00000000" w14:paraId="00000045">
      <w:pPr>
        <w:spacing w:before="0" w:line="276" w:lineRule="auto"/>
        <w:ind w:left="0" w:right="19.1338582677173"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p>
    <w:p w:rsidR="00000000" w:rsidDel="00000000" w:rsidP="00000000" w:rsidRDefault="00000000" w:rsidRPr="00000000" w14:paraId="00000046">
      <w:pPr>
        <w:spacing w:before="0" w:line="240" w:lineRule="auto"/>
        <w:ind w:left="720" w:right="-14.330708661418612"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685800</wp:posOffset>
            </wp:positionH>
            <wp:positionV relativeFrom="paragraph">
              <wp:posOffset>114300</wp:posOffset>
            </wp:positionV>
            <wp:extent cx="4600575" cy="952500"/>
            <wp:effectExtent b="0" l="0" r="0" t="0"/>
            <wp:wrapNone/>
            <wp:docPr id="18"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4600575" cy="952500"/>
                    </a:xfrm>
                    <a:prstGeom prst="rect"/>
                    <a:ln/>
                  </pic:spPr>
                </pic:pic>
              </a:graphicData>
            </a:graphic>
          </wp:anchor>
        </w:drawing>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ind w:left="72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ind w:left="720" w:firstLine="0"/>
        <w:rPr>
          <w:b w:val="1"/>
          <w:bCs w:val="1"/>
          <w:color w:val="000000"/>
          <w:sz w:val="40"/>
          <w:szCs w:val="40"/>
          <w:highlight w:val="yellow"/>
        </w:rPr>
      </w:pPr>
      <w:r w:rsidDel="00000000" w:rsidR="00000000" w:rsidRPr="00000000">
        <w:rPr>
          <w:rtl w:val="0"/>
        </w:rPr>
      </w:r>
    </w:p>
    <w:p w:rsidR="00000000" w:rsidDel="00000000" w:rsidP="00000000" w:rsidRDefault="00000000" w:rsidRPr="00000000" w14:paraId="00000049">
      <w:pPr>
        <w:spacing w:after="200" w:before="2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JULGAR PROCESSOS MAIS ANTIGOS:</w:t>
      </w:r>
    </w:p>
    <w:p w:rsidR="00000000" w:rsidDel="00000000" w:rsidP="00000000" w:rsidRDefault="00000000" w:rsidRPr="00000000" w14:paraId="0000004A">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Identificar e julgar, até 31/12/2026, desconsiderados os processos que estiverem suspensos ao final de 2026 ou que forem dessobrestados durante o ano de 2026, pelo menos:</w:t>
      </w:r>
      <w:r w:rsidDel="00000000" w:rsidR="00000000" w:rsidRPr="00000000">
        <w:rPr>
          <w:rtl w:val="0"/>
        </w:rPr>
      </w:r>
    </w:p>
    <w:p w:rsidR="00000000" w:rsidDel="00000000" w:rsidP="00000000" w:rsidRDefault="00000000" w:rsidRPr="00000000" w14:paraId="0000004B">
      <w:pPr>
        <w:spacing w:before="0" w:line="276" w:lineRule="auto"/>
        <w:ind w:left="720" w:right="19.1338582677173" w:firstLine="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C">
      <w:pPr>
        <w:numPr>
          <w:ilvl w:val="0"/>
          <w:numId w:val="4"/>
        </w:numPr>
        <w:spacing w:before="0" w:line="276" w:lineRule="auto"/>
        <w:ind w:left="144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02324f"/>
          <w:sz w:val="24"/>
          <w:szCs w:val="24"/>
          <w:rtl w:val="0"/>
        </w:rPr>
        <w:t xml:space="preserve">Parte 1: </w:t>
      </w:r>
      <w:r w:rsidDel="00000000" w:rsidR="00000000" w:rsidRPr="00000000">
        <w:rPr>
          <w:rFonts w:ascii="Arial" w:cs="Arial" w:eastAsia="Arial" w:hAnsi="Arial"/>
          <w:color w:val="000000"/>
          <w:sz w:val="24"/>
          <w:szCs w:val="24"/>
          <w:rtl w:val="0"/>
        </w:rPr>
        <w:t xml:space="preserve">94% dos processos distribuídos até 31/12/2024 nos 1º e 2º graus; e</w:t>
      </w:r>
    </w:p>
    <w:p w:rsidR="00000000" w:rsidDel="00000000" w:rsidP="00000000" w:rsidRDefault="00000000" w:rsidRPr="00000000" w14:paraId="0000004D">
      <w:pPr>
        <w:widowControl w:val="0"/>
        <w:numPr>
          <w:ilvl w:val="0"/>
          <w:numId w:val="4"/>
        </w:numPr>
        <w:spacing w:before="0" w:line="276" w:lineRule="auto"/>
        <w:ind w:left="1440" w:right="19.1338582677173" w:hanging="360"/>
        <w:jc w:val="both"/>
        <w:rPr>
          <w:rFonts w:ascii="Arial" w:cs="Arial" w:eastAsia="Arial" w:hAnsi="Arial"/>
          <w:color w:val="000000"/>
          <w:sz w:val="24"/>
          <w:szCs w:val="24"/>
        </w:rPr>
      </w:pPr>
      <w:r w:rsidDel="00000000" w:rsidR="00000000" w:rsidRPr="00000000">
        <w:rPr>
          <w:rFonts w:ascii="Arial" w:cs="Arial" w:eastAsia="Arial" w:hAnsi="Arial"/>
          <w:b w:val="1"/>
          <w:bCs w:val="1"/>
          <w:color w:val="02324f"/>
          <w:sz w:val="24"/>
          <w:szCs w:val="24"/>
          <w:rtl w:val="0"/>
        </w:rPr>
        <w:t xml:space="preserve">Parte 2:</w:t>
      </w:r>
      <w:r w:rsidDel="00000000" w:rsidR="00000000" w:rsidRPr="00000000">
        <w:rPr>
          <w:rFonts w:ascii="Arial" w:cs="Arial" w:eastAsia="Arial" w:hAnsi="Arial"/>
          <w:color w:val="000000"/>
          <w:sz w:val="24"/>
          <w:szCs w:val="24"/>
          <w:rtl w:val="0"/>
        </w:rPr>
        <w:t xml:space="preserve"> 99% dos processos pendentes de julgamento há 5 anos (2021) ou mais.</w:t>
      </w:r>
    </w:p>
    <w:p w:rsidR="00000000" w:rsidDel="00000000" w:rsidP="00000000" w:rsidRDefault="00000000" w:rsidRPr="00000000" w14:paraId="0000004E">
      <w:pPr>
        <w:widowControl w:val="0"/>
        <w:spacing w:before="0" w:line="276" w:lineRule="auto"/>
        <w:ind w:left="0" w:right="19.1338582677173"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4F">
      <w:pPr>
        <w:spacing w:after="200" w:line="276"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OBJETIVO ESTRATÉGICO:</w:t>
      </w:r>
    </w:p>
    <w:p w:rsidR="00000000" w:rsidDel="00000000" w:rsidP="00000000" w:rsidRDefault="00000000" w:rsidRPr="00000000" w14:paraId="00000050">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51">
      <w:pPr>
        <w:widowControl w:val="0"/>
        <w:spacing w:before="0" w:line="276" w:lineRule="auto"/>
        <w:ind w:left="0" w:right="19.1338582677173"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52">
      <w:pPr>
        <w:ind w:left="0" w:firstLine="0"/>
        <w:jc w:val="center"/>
        <w:rPr>
          <w:rFonts w:ascii="Arial" w:cs="Arial" w:eastAsia="Arial" w:hAnsi="Arial"/>
          <w:b w:val="1"/>
          <w:bCs w:val="1"/>
          <w:color w:val="02324f"/>
          <w:sz w:val="24"/>
          <w:szCs w:val="24"/>
          <w:u w:val="single"/>
        </w:rPr>
      </w:pPr>
      <w:r w:rsidDel="00000000" w:rsidR="00000000" w:rsidRPr="00000000">
        <w:rPr>
          <w:rFonts w:ascii="Arial" w:cs="Arial" w:eastAsia="Arial" w:hAnsi="Arial"/>
          <w:b w:val="1"/>
          <w:bCs w:val="1"/>
          <w:color w:val="02324f"/>
          <w:sz w:val="24"/>
          <w:szCs w:val="24"/>
          <w:u w:val="single"/>
          <w:rtl w:val="0"/>
        </w:rPr>
        <w:t xml:space="preserve">PARTE 1</w:t>
      </w:r>
    </w:p>
    <w:p w:rsidR="00000000" w:rsidDel="00000000" w:rsidP="00000000" w:rsidRDefault="00000000" w:rsidRPr="00000000" w14:paraId="00000053">
      <w:pPr>
        <w:ind w:left="0" w:firstLine="0"/>
        <w:rPr>
          <w:rFonts w:ascii="Arial" w:cs="Arial" w:eastAsia="Arial" w:hAnsi="Arial"/>
          <w:b w:val="1"/>
          <w:bCs w:val="1"/>
          <w:color w:val="02324f"/>
          <w:sz w:val="2"/>
          <w:szCs w:val="2"/>
        </w:rPr>
      </w:pPr>
      <w:r w:rsidDel="00000000" w:rsidR="00000000" w:rsidRPr="00000000">
        <w:rPr>
          <w:rFonts w:ascii="Arial" w:cs="Arial" w:eastAsia="Arial" w:hAnsi="Arial"/>
          <w:b w:val="1"/>
          <w:bCs w:val="1"/>
          <w:color w:val="02324f"/>
          <w:sz w:val="24"/>
          <w:szCs w:val="24"/>
          <w:rtl w:val="0"/>
        </w:rPr>
        <w:t xml:space="preserve">RESULTADO TRT-RS:</w:t>
      </w:r>
      <w:r w:rsidDel="00000000" w:rsidR="00000000" w:rsidRPr="00000000">
        <w:rPr>
          <w:rtl w:val="0"/>
        </w:rPr>
      </w:r>
    </w:p>
    <w:tbl>
      <w:tblPr>
        <w:tblStyle w:val="Table2"/>
        <w:tblW w:w="909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1800"/>
        <w:gridCol w:w="2854.999999999999"/>
        <w:gridCol w:w="1645.0000000000011"/>
        <w:tblGridChange w:id="0">
          <w:tblGrid>
            <w:gridCol w:w="1140"/>
            <w:gridCol w:w="1650"/>
            <w:gridCol w:w="1800"/>
            <w:gridCol w:w="2854.999999999999"/>
            <w:gridCol w:w="1645.0000000000011"/>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4">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5">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IPAJ - Parte 1</w:t>
            </w:r>
          </w:p>
          <w:p w:rsidR="00000000" w:rsidDel="00000000" w:rsidP="00000000" w:rsidRDefault="00000000" w:rsidRPr="00000000" w14:paraId="00000056">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94%)</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Distribuídos</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8">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Distribuídos (Excluídos Suspensos e Dessobrestados)</w:t>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bottom"/>
          </w:tcPr>
          <w:p w:rsidR="00000000" w:rsidDel="00000000" w:rsidP="00000000" w:rsidRDefault="00000000" w:rsidRPr="00000000" w14:paraId="00000059">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Julgados</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A">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95,60%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111.043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107.301</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102.584</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5F">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99,49%</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26.623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25.801</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25.670</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64">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96,36%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137.666</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133.102</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128.254</w:t>
            </w:r>
          </w:p>
        </w:tc>
      </w:tr>
    </w:tbl>
    <w:p w:rsidR="00000000" w:rsidDel="00000000" w:rsidP="00000000" w:rsidRDefault="00000000" w:rsidRPr="00000000" w14:paraId="00000069">
      <w:pPr>
        <w:spacing w:before="0" w:line="360" w:lineRule="auto"/>
        <w:ind w:left="95" w:right="191" w:firstLine="1077"/>
        <w:jc w:val="center"/>
        <w:rPr>
          <w:rFonts w:ascii="Arial" w:cs="Arial" w:eastAsia="Arial" w:hAnsi="Arial"/>
          <w:b w:val="1"/>
          <w:bCs w:val="1"/>
          <w:color w:val="c31f5a"/>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1057275</wp:posOffset>
            </wp:positionH>
            <wp:positionV relativeFrom="paragraph">
              <wp:posOffset>152400</wp:posOffset>
            </wp:positionV>
            <wp:extent cx="3906950" cy="2286000"/>
            <wp:effectExtent b="0" l="0" r="0" t="0"/>
            <wp:wrapNone/>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906950" cy="2286000"/>
                    </a:xfrm>
                    <a:prstGeom prst="rect"/>
                    <a:ln/>
                  </pic:spPr>
                </pic:pic>
              </a:graphicData>
            </a:graphic>
          </wp:anchor>
        </w:drawing>
      </w:r>
    </w:p>
    <w:p w:rsidR="00000000" w:rsidDel="00000000" w:rsidP="00000000" w:rsidRDefault="00000000" w:rsidRPr="00000000" w14:paraId="0000006A">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6B">
      <w:pPr>
        <w:spacing w:before="0" w:line="360" w:lineRule="auto"/>
        <w:ind w:left="95" w:right="191" w:firstLine="1077"/>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C">
      <w:pPr>
        <w:spacing w:before="0" w:line="360" w:lineRule="auto"/>
        <w:ind w:left="90" w:right="191" w:firstLine="108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D">
      <w:pPr>
        <w:spacing w:before="0" w:line="360" w:lineRule="auto"/>
        <w:ind w:left="90" w:right="191" w:firstLine="108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E">
      <w:pPr>
        <w:ind w:left="0" w:firstLine="0"/>
        <w:jc w:val="center"/>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6F">
      <w:pPr>
        <w:ind w:left="0" w:firstLine="0"/>
        <w:jc w:val="center"/>
        <w:rPr>
          <w:rFonts w:ascii="Arial" w:cs="Arial" w:eastAsia="Arial" w:hAnsi="Arial"/>
          <w:b w:val="1"/>
          <w:bCs w:val="1"/>
          <w:color w:val="c31f5a"/>
          <w:sz w:val="24"/>
          <w:szCs w:val="24"/>
          <w:highlight w:val="yellow"/>
          <w:u w:val="single"/>
        </w:rPr>
      </w:pPr>
      <w:r w:rsidDel="00000000" w:rsidR="00000000" w:rsidRPr="00000000">
        <w:rPr>
          <w:rtl w:val="0"/>
        </w:rPr>
      </w:r>
    </w:p>
    <w:p w:rsidR="00000000" w:rsidDel="00000000" w:rsidP="00000000" w:rsidRDefault="00000000" w:rsidRPr="00000000" w14:paraId="00000070">
      <w:pPr>
        <w:ind w:left="0" w:firstLine="0"/>
        <w:jc w:val="center"/>
        <w:rPr>
          <w:rFonts w:ascii="Arial" w:cs="Arial" w:eastAsia="Arial" w:hAnsi="Arial"/>
          <w:b w:val="1"/>
          <w:bCs w:val="1"/>
          <w:color w:val="02324f"/>
          <w:sz w:val="24"/>
          <w:szCs w:val="24"/>
          <w:u w:val="single"/>
        </w:rPr>
      </w:pPr>
      <w:r w:rsidDel="00000000" w:rsidR="00000000" w:rsidRPr="00000000">
        <w:rPr>
          <w:rFonts w:ascii="Arial" w:cs="Arial" w:eastAsia="Arial" w:hAnsi="Arial"/>
          <w:b w:val="1"/>
          <w:bCs w:val="1"/>
          <w:color w:val="02324f"/>
          <w:sz w:val="24"/>
          <w:szCs w:val="24"/>
          <w:u w:val="single"/>
          <w:rtl w:val="0"/>
        </w:rPr>
        <w:t xml:space="preserve">PARTE 2</w:t>
      </w:r>
    </w:p>
    <w:p w:rsidR="00000000" w:rsidDel="00000000" w:rsidP="00000000" w:rsidRDefault="00000000" w:rsidRPr="00000000" w14:paraId="00000071">
      <w:pPr>
        <w:ind w:left="0" w:firstLine="0"/>
        <w:rPr>
          <w:rFonts w:ascii="Arial" w:cs="Arial" w:eastAsia="Arial" w:hAnsi="Arial"/>
          <w:b w:val="1"/>
          <w:bCs w:val="1"/>
          <w:color w:val="02324f"/>
          <w:sz w:val="2"/>
          <w:szCs w:val="2"/>
        </w:rPr>
      </w:pPr>
      <w:r w:rsidDel="00000000" w:rsidR="00000000" w:rsidRPr="00000000">
        <w:rPr>
          <w:rFonts w:ascii="Arial" w:cs="Arial" w:eastAsia="Arial" w:hAnsi="Arial"/>
          <w:b w:val="1"/>
          <w:bCs w:val="1"/>
          <w:color w:val="02324f"/>
          <w:sz w:val="24"/>
          <w:szCs w:val="24"/>
          <w:rtl w:val="0"/>
        </w:rPr>
        <w:t xml:space="preserve">RESULTADO TRT-RS:</w:t>
      </w:r>
      <w:r w:rsidDel="00000000" w:rsidR="00000000" w:rsidRPr="00000000">
        <w:rPr>
          <w:rtl w:val="0"/>
        </w:rPr>
      </w:r>
    </w:p>
    <w:tbl>
      <w:tblPr>
        <w:tblStyle w:val="Table3"/>
        <w:tblW w:w="9334.999999999998"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1650"/>
        <w:gridCol w:w="2115"/>
        <w:gridCol w:w="2175"/>
        <w:gridCol w:w="2254.999999999999"/>
        <w:tblGridChange w:id="0">
          <w:tblGrid>
            <w:gridCol w:w="1140"/>
            <w:gridCol w:w="1650"/>
            <w:gridCol w:w="2115"/>
            <w:gridCol w:w="2175"/>
            <w:gridCol w:w="2254.999999999999"/>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2">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3">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IPAJ - Parte 2</w:t>
            </w:r>
          </w:p>
          <w:p w:rsidR="00000000" w:rsidDel="00000000" w:rsidP="00000000" w:rsidRDefault="00000000" w:rsidRPr="00000000" w14:paraId="00000074">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99%)</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5">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Saldo de Processos Mais Antigos para 2026</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6">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Mais Antigos Julgados</w:t>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bottom"/>
          </w:tcPr>
          <w:p w:rsidR="00000000" w:rsidDel="00000000" w:rsidP="00000000" w:rsidRDefault="00000000" w:rsidRPr="00000000" w14:paraId="00000077">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Mais Antigos Pendentes </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8">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1º Grau</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92,13%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127</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117</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10</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7D">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2º Grau</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98,50%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133</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131</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82">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95,38%</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260</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248</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12</w:t>
            </w:r>
          </w:p>
        </w:tc>
      </w:tr>
    </w:tbl>
    <w:p w:rsidR="00000000" w:rsidDel="00000000" w:rsidP="00000000" w:rsidRDefault="00000000" w:rsidRPr="00000000" w14:paraId="00000087">
      <w:pPr>
        <w:ind w:left="0" w:firstLine="0"/>
        <w:rPr>
          <w:rFonts w:ascii="Arial" w:cs="Arial" w:eastAsia="Arial" w:hAnsi="Arial"/>
          <w:b w:val="1"/>
          <w:bCs w:val="1"/>
          <w:color w:val="c31f5a"/>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1057275</wp:posOffset>
            </wp:positionH>
            <wp:positionV relativeFrom="paragraph">
              <wp:posOffset>314325</wp:posOffset>
            </wp:positionV>
            <wp:extent cx="4021250" cy="2312939"/>
            <wp:effectExtent b="0" l="0" r="0" t="0"/>
            <wp:wrapNone/>
            <wp:docPr id="15"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4021250" cy="2312939"/>
                    </a:xfrm>
                    <a:prstGeom prst="rect"/>
                    <a:ln/>
                  </pic:spPr>
                </pic:pic>
              </a:graphicData>
            </a:graphic>
          </wp:anchor>
        </w:drawing>
      </w:r>
    </w:p>
    <w:p w:rsidR="00000000" w:rsidDel="00000000" w:rsidP="00000000" w:rsidRDefault="00000000" w:rsidRPr="00000000" w14:paraId="00000088">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9">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A">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B">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C">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D">
      <w:pPr>
        <w:ind w:left="0" w:firstLine="0"/>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E">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8F">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0">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1">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2">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3">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4">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5">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6">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7">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8">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9">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A">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B">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C">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D">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E">
      <w:pPr>
        <w:spacing w:before="0" w:line="276" w:lineRule="auto"/>
        <w:ind w:left="720" w:right="19.1338582677173" w:firstLine="0"/>
        <w:jc w:val="both"/>
        <w:rPr>
          <w:rFonts w:ascii="Arial" w:cs="Arial" w:eastAsia="Arial" w:hAnsi="Arial"/>
          <w:b w:val="1"/>
          <w:bCs w:val="1"/>
          <w:color w:val="c31f5a"/>
          <w:sz w:val="24"/>
          <w:szCs w:val="24"/>
          <w:highlight w:val="yellow"/>
        </w:rPr>
      </w:pPr>
      <w:r w:rsidDel="00000000" w:rsidR="00000000" w:rsidRPr="00000000">
        <w:rPr>
          <w:rtl w:val="0"/>
        </w:rPr>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ind w:left="0" w:firstLine="0"/>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704850</wp:posOffset>
            </wp:positionH>
            <wp:positionV relativeFrom="paragraph">
              <wp:posOffset>114300</wp:posOffset>
            </wp:positionV>
            <wp:extent cx="4541947" cy="952500"/>
            <wp:effectExtent b="0" l="0" r="0" t="0"/>
            <wp:wrapNone/>
            <wp:docPr id="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4541947" cy="952500"/>
                    </a:xfrm>
                    <a:prstGeom prst="rect"/>
                    <a:ln/>
                  </pic:spPr>
                </pic:pic>
              </a:graphicData>
            </a:graphic>
          </wp:anchor>
        </w:drawing>
      </w:r>
    </w:p>
    <w:p w:rsidR="00000000" w:rsidDel="00000000" w:rsidP="00000000" w:rsidRDefault="00000000" w:rsidRPr="00000000" w14:paraId="000000A0">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1">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2">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3">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4">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A5">
      <w:pPr>
        <w:spacing w:after="200" w:before="4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ESTIMULAR A CONCILIAÇÃO:</w:t>
      </w:r>
    </w:p>
    <w:p w:rsidR="00000000" w:rsidDel="00000000" w:rsidP="00000000" w:rsidRDefault="00000000" w:rsidRPr="00000000" w14:paraId="000000A6">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Aumentar o índice de conciliação na fase de conhecimento em 0,5 ponto percentual em relação à média do biênio 2023/2024 ou alcançar, no mínimo, 38% de conciliação.</w:t>
      </w:r>
      <w:r w:rsidDel="00000000" w:rsidR="00000000" w:rsidRPr="00000000">
        <w:rPr>
          <w:rtl w:val="0"/>
        </w:rPr>
      </w:r>
    </w:p>
    <w:p w:rsidR="00000000" w:rsidDel="00000000" w:rsidP="00000000" w:rsidRDefault="00000000" w:rsidRPr="00000000" w14:paraId="000000A7">
      <w:pPr>
        <w:spacing w:before="0" w:line="276" w:lineRule="auto"/>
        <w:ind w:left="720" w:right="19.1338582677173" w:firstLine="0"/>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A8">
      <w:pPr>
        <w:spacing w:after="200" w:before="400"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OBJETIVO ESTRATÉGICO:</w:t>
      </w:r>
    </w:p>
    <w:p w:rsidR="00000000" w:rsidDel="00000000" w:rsidP="00000000" w:rsidRDefault="00000000" w:rsidRPr="00000000" w14:paraId="000000A9">
      <w:pPr>
        <w:numPr>
          <w:ilvl w:val="0"/>
          <w:numId w:val="6"/>
        </w:numPr>
        <w:spacing w:before="0" w:line="276" w:lineRule="auto"/>
        <w:ind w:left="720" w:right="19.1338582677173"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Assegurar o tratamento adequado dos conflitos trabalhistas.</w:t>
      </w:r>
      <w:r w:rsidDel="00000000" w:rsidR="00000000" w:rsidRPr="00000000">
        <w:rPr>
          <w:rtl w:val="0"/>
        </w:rPr>
      </w:r>
    </w:p>
    <w:p w:rsidR="00000000" w:rsidDel="00000000" w:rsidP="00000000" w:rsidRDefault="00000000" w:rsidRPr="00000000" w14:paraId="000000AA">
      <w:pPr>
        <w:ind w:left="0" w:right="19.1338582677173" w:firstLine="0"/>
        <w:rPr>
          <w:rFonts w:ascii="Arial" w:cs="Arial" w:eastAsia="Arial" w:hAnsi="Arial"/>
          <w:b w:val="1"/>
          <w:bCs w:val="1"/>
          <w:color w:val="017f53"/>
          <w:sz w:val="6"/>
          <w:szCs w:val="6"/>
          <w:highlight w:val="yellow"/>
        </w:rPr>
      </w:pPr>
      <w:r w:rsidDel="00000000" w:rsidR="00000000" w:rsidRPr="00000000">
        <w:rPr>
          <w:rtl w:val="0"/>
        </w:rPr>
      </w:r>
    </w:p>
    <w:p w:rsidR="00000000" w:rsidDel="00000000" w:rsidP="00000000" w:rsidRDefault="00000000" w:rsidRPr="00000000" w14:paraId="000000AB">
      <w:pPr>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0AC">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4"/>
        <w:tblW w:w="8670.0"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2160"/>
        <w:gridCol w:w="2805"/>
        <w:gridCol w:w="2400"/>
        <w:tblGridChange w:id="0">
          <w:tblGrid>
            <w:gridCol w:w="1305"/>
            <w:gridCol w:w="2160"/>
            <w:gridCol w:w="2805"/>
            <w:gridCol w:w="2400"/>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AD">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AE">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Índice de Conciliação</w:t>
            </w:r>
          </w:p>
          <w:p w:rsidR="00000000" w:rsidDel="00000000" w:rsidP="00000000" w:rsidRDefault="00000000" w:rsidRPr="00000000" w14:paraId="000000AF">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44,50%)</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B0">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Solucionados</w:t>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bottom"/>
          </w:tcPr>
          <w:p w:rsidR="00000000" w:rsidDel="00000000" w:rsidP="00000000" w:rsidRDefault="00000000" w:rsidRPr="00000000" w14:paraId="000000B1">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Processos Conciliados</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B2">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42,51%</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93.703</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39.833</w:t>
            </w:r>
          </w:p>
        </w:tc>
      </w:tr>
    </w:tbl>
    <w:p w:rsidR="00000000" w:rsidDel="00000000" w:rsidP="00000000" w:rsidRDefault="00000000" w:rsidRPr="00000000" w14:paraId="000000B6">
      <w:pPr>
        <w:ind w:left="0" w:firstLine="0"/>
        <w:rPr>
          <w:rFonts w:ascii="Arial" w:cs="Arial" w:eastAsia="Arial" w:hAnsi="Arial"/>
          <w:b w:val="1"/>
          <w:bCs w:val="1"/>
          <w:color w:val="017f53"/>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1168400</wp:posOffset>
            </wp:positionH>
            <wp:positionV relativeFrom="paragraph">
              <wp:posOffset>365125</wp:posOffset>
            </wp:positionV>
            <wp:extent cx="4400550" cy="2314575"/>
            <wp:effectExtent b="0" l="0" r="0" t="0"/>
            <wp:wrapNone/>
            <wp:docPr id="1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400550" cy="2314575"/>
                    </a:xfrm>
                    <a:prstGeom prst="rect"/>
                    <a:ln/>
                  </pic:spPr>
                </pic:pic>
              </a:graphicData>
            </a:graphic>
          </wp:anchor>
        </w:drawing>
      </w:r>
    </w:p>
    <w:p w:rsidR="00000000" w:rsidDel="00000000" w:rsidP="00000000" w:rsidRDefault="00000000" w:rsidRPr="00000000" w14:paraId="000000B7">
      <w:pPr>
        <w:spacing w:before="0" w:line="240" w:lineRule="auto"/>
        <w:ind w:left="0" w:firstLine="0"/>
        <w:jc w:val="center"/>
        <w:rPr>
          <w:rFonts w:ascii="Arial" w:cs="Arial" w:eastAsia="Arial" w:hAnsi="Arial"/>
          <w:b w:val="1"/>
          <w:bCs w:val="1"/>
          <w:color w:val="017f53"/>
          <w:sz w:val="30"/>
          <w:szCs w:val="30"/>
          <w:highlight w:val="yellow"/>
        </w:rPr>
      </w:pPr>
      <w:r w:rsidDel="00000000" w:rsidR="00000000" w:rsidRPr="00000000">
        <w:rPr>
          <w:rtl w:val="0"/>
        </w:rPr>
      </w:r>
    </w:p>
    <w:p w:rsidR="00000000" w:rsidDel="00000000" w:rsidP="00000000" w:rsidRDefault="00000000" w:rsidRPr="00000000" w14:paraId="000000B8">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9">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A">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B">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C">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D">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E">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BF">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0">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1">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2">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3">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4">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5">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6">
      <w:pPr>
        <w:spacing w:before="0" w:line="276" w:lineRule="auto"/>
        <w:ind w:left="0" w:right="19.1338582677173" w:firstLine="0"/>
        <w:jc w:val="both"/>
        <w:rPr>
          <w:rFonts w:ascii="Arial" w:cs="Arial" w:eastAsia="Arial" w:hAnsi="Arial"/>
          <w:b w:val="1"/>
          <w:bCs w:val="1"/>
          <w:color w:val="017f53"/>
          <w:sz w:val="24"/>
          <w:szCs w:val="24"/>
          <w:highlight w:val="yellow"/>
        </w:rPr>
      </w:pPr>
      <w:r w:rsidDel="00000000" w:rsidR="00000000" w:rsidRPr="00000000">
        <w:rPr>
          <w:rtl w:val="0"/>
        </w:rPr>
      </w:r>
    </w:p>
    <w:p w:rsidR="00000000" w:rsidDel="00000000" w:rsidP="00000000" w:rsidRDefault="00000000" w:rsidRPr="00000000" w14:paraId="000000C7">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681038</wp:posOffset>
            </wp:positionH>
            <wp:positionV relativeFrom="paragraph">
              <wp:posOffset>114300</wp:posOffset>
            </wp:positionV>
            <wp:extent cx="4591163" cy="952500"/>
            <wp:effectExtent b="0" l="0" r="0" t="0"/>
            <wp:wrapNone/>
            <wp:docPr id="6"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4591163" cy="952500"/>
                    </a:xfrm>
                    <a:prstGeom prst="rect"/>
                    <a:ln/>
                  </pic:spPr>
                </pic:pic>
              </a:graphicData>
            </a:graphic>
          </wp:anchor>
        </w:drawing>
      </w:r>
    </w:p>
    <w:p w:rsidR="00000000" w:rsidDel="00000000" w:rsidP="00000000" w:rsidRDefault="00000000" w:rsidRPr="00000000" w14:paraId="000000C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CD">
      <w:pPr>
        <w:spacing w:after="200" w:before="4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REDUZIR A TAXA DE CONGESTIONAMENTO:</w:t>
      </w:r>
    </w:p>
    <w:p w:rsidR="00000000" w:rsidDel="00000000" w:rsidP="00000000" w:rsidRDefault="00000000" w:rsidRPr="00000000" w14:paraId="000000C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14.330708661418612"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Reduzir em 0,5 ponto percentual a taxa de congestionamento líquida, exceto execuções fiscais, em relação a 2025, ou alcançar taxas de, no máximo, 40% na fase de conhecimento e 45% na fase de execução. </w:t>
      </w:r>
    </w:p>
    <w:p w:rsidR="00000000" w:rsidDel="00000000" w:rsidP="00000000" w:rsidRDefault="00000000" w:rsidRPr="00000000" w14:paraId="000000CF">
      <w:pPr>
        <w:spacing w:after="200" w:before="400"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OBJETIVO ESTRATÉGICO:</w:t>
      </w:r>
    </w:p>
    <w:p w:rsidR="00000000" w:rsidDel="00000000" w:rsidP="00000000" w:rsidRDefault="00000000" w:rsidRPr="00000000" w14:paraId="000000D0">
      <w:pPr>
        <w:numPr>
          <w:ilvl w:val="0"/>
          <w:numId w:val="6"/>
        </w:numPr>
        <w:spacing w:before="0" w:line="276" w:lineRule="auto"/>
        <w:ind w:left="720" w:right="-14.330708661418612" w:hanging="360"/>
        <w:jc w:val="both"/>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r w:rsidDel="00000000" w:rsidR="00000000" w:rsidRPr="00000000">
        <w:rPr>
          <w:rtl w:val="0"/>
        </w:rPr>
      </w:r>
    </w:p>
    <w:p w:rsidR="00000000" w:rsidDel="00000000" w:rsidP="00000000" w:rsidRDefault="00000000" w:rsidRPr="00000000" w14:paraId="000000D1">
      <w:pPr>
        <w:ind w:left="0" w:firstLine="0"/>
        <w:rPr>
          <w:rFonts w:ascii="Arial" w:cs="Arial" w:eastAsia="Arial" w:hAnsi="Arial"/>
          <w:b w:val="1"/>
          <w:bCs w:val="1"/>
          <w:color w:val="02324f"/>
          <w:sz w:val="16"/>
          <w:szCs w:val="16"/>
        </w:rPr>
      </w:pPr>
      <w:r w:rsidDel="00000000" w:rsidR="00000000" w:rsidRPr="00000000">
        <w:rPr>
          <w:rtl w:val="0"/>
        </w:rPr>
      </w:r>
    </w:p>
    <w:p w:rsidR="00000000" w:rsidDel="00000000" w:rsidP="00000000" w:rsidRDefault="00000000" w:rsidRPr="00000000" w14:paraId="000000D2">
      <w:pPr>
        <w:ind w:left="0" w:firstLine="0"/>
        <w:rPr>
          <w:rFonts w:ascii="Arial" w:cs="Arial" w:eastAsia="Arial" w:hAnsi="Arial"/>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r w:rsidDel="00000000" w:rsidR="00000000" w:rsidRPr="00000000">
        <w:rPr>
          <w:rtl w:val="0"/>
        </w:rPr>
      </w:r>
    </w:p>
    <w:p w:rsidR="00000000" w:rsidDel="00000000" w:rsidP="00000000" w:rsidRDefault="00000000" w:rsidRPr="00000000" w14:paraId="000000D3">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5"/>
        <w:tblW w:w="9435.0" w:type="dxa"/>
        <w:jc w:val="left"/>
        <w:tblInd w:w="-394.999999999999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1290"/>
        <w:gridCol w:w="1575"/>
        <w:gridCol w:w="1275"/>
        <w:gridCol w:w="1380"/>
        <w:gridCol w:w="1335"/>
        <w:gridCol w:w="1500"/>
        <w:tblGridChange w:id="0">
          <w:tblGrid>
            <w:gridCol w:w="1080"/>
            <w:gridCol w:w="1290"/>
            <w:gridCol w:w="1575"/>
            <w:gridCol w:w="1275"/>
            <w:gridCol w:w="1380"/>
            <w:gridCol w:w="1335"/>
            <w:gridCol w:w="1500"/>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4">
            <w:pPr>
              <w:widowControl w:val="0"/>
              <w:spacing w:before="0" w:line="240" w:lineRule="auto"/>
              <w:ind w:left="0" w:firstLine="0"/>
              <w:jc w:val="center"/>
              <w:rPr>
                <w:rFonts w:ascii="Arial" w:cs="Arial" w:eastAsia="Arial" w:hAnsi="Arial"/>
                <w:color w:val="ffffff"/>
                <w:sz w:val="20"/>
                <w:szCs w:val="20"/>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5">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TCLNFISC </w:t>
            </w:r>
            <w:r w:rsidDel="00000000" w:rsidR="00000000" w:rsidRPr="00000000">
              <w:rPr>
                <w:rFonts w:ascii="Arial" w:cs="Arial" w:eastAsia="Arial" w:hAnsi="Arial"/>
                <w:color w:val="ffffff"/>
                <w:sz w:val="20"/>
                <w:szCs w:val="20"/>
                <w:rtl w:val="0"/>
              </w:rPr>
              <w:t xml:space="preserve">(Meta 42,65%)</w:t>
            </w:r>
            <w:r w:rsidDel="00000000" w:rsidR="00000000" w:rsidRPr="00000000">
              <w:rPr>
                <w:rFonts w:ascii="Arial" w:cs="Arial" w:eastAsia="Arial" w:hAnsi="Arial"/>
                <w:b w:val="1"/>
                <w:bCs w:val="1"/>
                <w:color w:val="ffffff"/>
                <w:sz w:val="20"/>
                <w:szCs w:val="20"/>
                <w:rtl w:val="0"/>
              </w:rPr>
              <w:t xml:space="preserve"> </w:t>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6">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Processos Baixados e Pendentes de Baixa</w:t>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7">
            <w:pPr>
              <w:widowControl w:val="0"/>
              <w:spacing w:before="0" w:line="240" w:lineRule="auto"/>
              <w:ind w:left="0" w:firstLine="0"/>
              <w:jc w:val="center"/>
              <w:rPr>
                <w:rFonts w:ascii="Arial" w:cs="Arial" w:eastAsia="Arial" w:hAnsi="Arial"/>
                <w:color w:val="ffffff"/>
                <w:sz w:val="20"/>
                <w:szCs w:val="20"/>
              </w:rPr>
            </w:pPr>
            <w:r w:rsidDel="00000000" w:rsidR="00000000" w:rsidRPr="00000000">
              <w:rPr>
                <w:rFonts w:ascii="Arial" w:cs="Arial" w:eastAsia="Arial" w:hAnsi="Arial"/>
                <w:b w:val="1"/>
                <w:bCs w:val="1"/>
                <w:color w:val="ffffff"/>
                <w:sz w:val="20"/>
                <w:szCs w:val="20"/>
                <w:rtl w:val="0"/>
              </w:rPr>
              <w:t xml:space="preserve">Processos Baixados</w:t>
            </w:r>
            <w:r w:rsidDel="00000000" w:rsidR="00000000" w:rsidRPr="00000000">
              <w:rPr>
                <w:rtl w:val="0"/>
              </w:rPr>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8">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Processos Pendentes de Baixa</w:t>
            </w:r>
          </w:p>
        </w:tc>
        <w:tc>
          <w:tcPr>
            <w:tcBorders>
              <w:top w:color="bdc1c6" w:space="0" w:sz="8" w:val="single"/>
              <w:left w:color="bdc1c6" w:space="0" w:sz="8" w:val="single"/>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9">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TCLC </w:t>
            </w:r>
          </w:p>
          <w:p w:rsidR="00000000" w:rsidDel="00000000" w:rsidP="00000000" w:rsidRDefault="00000000" w:rsidRPr="00000000" w14:paraId="000000DA">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Unicode MS" w:cs="Arial Unicode MS" w:eastAsia="Arial Unicode MS" w:hAnsi="Arial Unicode MS"/>
                <w:color w:val="ffffff"/>
                <w:sz w:val="20"/>
                <w:szCs w:val="20"/>
                <w:rtl w:val="0"/>
              </w:rPr>
              <w:t xml:space="preserve">(C.B ≤ 40%)</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bottom"/>
          </w:tcPr>
          <w:p w:rsidR="00000000" w:rsidDel="00000000" w:rsidP="00000000" w:rsidRDefault="00000000" w:rsidRPr="00000000" w14:paraId="000000DB">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TCLEXNFISC </w:t>
            </w:r>
            <w:r w:rsidDel="00000000" w:rsidR="00000000" w:rsidRPr="00000000">
              <w:rPr>
                <w:rFonts w:ascii="Arial Unicode MS" w:cs="Arial Unicode MS" w:eastAsia="Arial Unicode MS" w:hAnsi="Arial Unicode MS"/>
                <w:color w:val="ffffff"/>
                <w:sz w:val="20"/>
                <w:szCs w:val="20"/>
                <w:rtl w:val="0"/>
              </w:rPr>
              <w:t xml:space="preserve">(C.B ≤ 45%)</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bottom"/>
          </w:tcPr>
          <w:p w:rsidR="00000000" w:rsidDel="00000000" w:rsidP="00000000" w:rsidRDefault="00000000" w:rsidRPr="00000000" w14:paraId="000000DC">
            <w:pPr>
              <w:widowControl w:val="0"/>
              <w:spacing w:before="0" w:line="240" w:lineRule="auto"/>
              <w:ind w:left="0" w:firstLine="0"/>
              <w:jc w:val="center"/>
              <w:rPr>
                <w:rFonts w:ascii="Arial" w:cs="Arial" w:eastAsia="Arial" w:hAnsi="Arial"/>
                <w:b w:val="1"/>
                <w:bCs w:val="1"/>
                <w:color w:val="ffffff"/>
                <w:sz w:val="20"/>
                <w:szCs w:val="20"/>
              </w:rPr>
            </w:pPr>
            <w:r w:rsidDel="00000000" w:rsidR="00000000" w:rsidRPr="00000000">
              <w:rPr>
                <w:rFonts w:ascii="Arial" w:cs="Arial" w:eastAsia="Arial" w:hAnsi="Arial"/>
                <w:b w:val="1"/>
                <w:bCs w:val="1"/>
                <w:color w:val="ffffff"/>
                <w:sz w:val="20"/>
                <w:szCs w:val="20"/>
                <w:rtl w:val="0"/>
              </w:rPr>
              <w:t xml:space="preserve">TRT-RS</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56,21%</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519.502</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227.491</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292.011</w:t>
            </w:r>
          </w:p>
        </w:tc>
        <w:tc>
          <w:tcPr>
            <w:tcBorders>
              <w:top w:color="bdc1c6" w:space="0" w:sz="8" w:val="single"/>
              <w:left w:color="bdc1c6" w:space="0" w:sz="8" w:val="single"/>
              <w:bottom w:color="bdc1c6" w:space="0" w:sz="8" w:val="single"/>
              <w:right w:color="bdc1c6"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57,21%</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before="0" w:line="240" w:lineRule="auto"/>
              <w:ind w:left="0" w:firstLine="0"/>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54,05%</w:t>
            </w:r>
          </w:p>
        </w:tc>
      </w:tr>
    </w:tbl>
    <w:p w:rsidR="00000000" w:rsidDel="00000000" w:rsidP="00000000" w:rsidRDefault="00000000" w:rsidRPr="00000000" w14:paraId="000000E3">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914400</wp:posOffset>
            </wp:positionH>
            <wp:positionV relativeFrom="paragraph">
              <wp:posOffset>247650</wp:posOffset>
            </wp:positionV>
            <wp:extent cx="3429000" cy="2886075"/>
            <wp:effectExtent b="0" l="0" r="0" t="0"/>
            <wp:wrapNone/>
            <wp:docPr id="3"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3429000" cy="2886075"/>
                    </a:xfrm>
                    <a:prstGeom prst="rect"/>
                    <a:ln/>
                  </pic:spPr>
                </pic:pic>
              </a:graphicData>
            </a:graphic>
          </wp:anchor>
        </w:drawing>
      </w:r>
    </w:p>
    <w:p w:rsidR="00000000" w:rsidDel="00000000" w:rsidP="00000000" w:rsidRDefault="00000000" w:rsidRPr="00000000" w14:paraId="000000E4">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5">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6">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7">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D">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EE">
      <w:pPr>
        <w:spacing w:before="0" w:line="276" w:lineRule="auto"/>
        <w:ind w:left="720" w:right="4.133858267717301" w:firstLine="0"/>
        <w:jc w:val="both"/>
        <w:rPr>
          <w:rFonts w:ascii="Arial" w:cs="Arial" w:eastAsia="Arial" w:hAnsi="Arial"/>
          <w:b w:val="1"/>
          <w:bCs w:val="1"/>
          <w:color w:val="694a8a"/>
          <w:sz w:val="24"/>
          <w:szCs w:val="24"/>
          <w:highlight w:val="yellow"/>
        </w:rPr>
      </w:pPr>
      <w:r w:rsidDel="00000000" w:rsidR="00000000" w:rsidRPr="00000000">
        <w:rPr>
          <w:rtl w:val="0"/>
        </w:rPr>
      </w:r>
    </w:p>
    <w:p w:rsidR="00000000" w:rsidDel="00000000" w:rsidP="00000000" w:rsidRDefault="00000000" w:rsidRPr="00000000" w14:paraId="000000EF">
      <w:pPr>
        <w:spacing w:before="0" w:line="240" w:lineRule="auto"/>
        <w:ind w:left="720" w:firstLine="0"/>
        <w:jc w:val="both"/>
        <w:rPr>
          <w:rFonts w:ascii="Liberation Serif" w:cs="Liberation Serif" w:eastAsia="Liberation Serif" w:hAnsi="Liberation Serif"/>
          <w:color w:val="000000"/>
          <w:sz w:val="24"/>
          <w:szCs w:val="24"/>
          <w:highlight w:val="yellow"/>
        </w:rPr>
      </w:pPr>
      <w:r w:rsidDel="00000000" w:rsidR="00000000" w:rsidRPr="00000000">
        <w:rPr>
          <w:rtl w:val="0"/>
        </w:rPr>
      </w:r>
    </w:p>
    <w:p w:rsidR="00000000" w:rsidDel="00000000" w:rsidP="00000000" w:rsidRDefault="00000000" w:rsidRPr="00000000" w14:paraId="000000F0">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1">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2">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3">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4">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5">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6">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7">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8">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635000</wp:posOffset>
            </wp:positionH>
            <wp:positionV relativeFrom="paragraph">
              <wp:posOffset>114300</wp:posOffset>
            </wp:positionV>
            <wp:extent cx="4532422" cy="971550"/>
            <wp:effectExtent b="0" l="0" r="0" t="0"/>
            <wp:wrapNone/>
            <wp:docPr id="14"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4532422" cy="971550"/>
                    </a:xfrm>
                    <a:prstGeom prst="rect"/>
                    <a:ln/>
                  </pic:spPr>
                </pic:pic>
              </a:graphicData>
            </a:graphic>
          </wp:anchor>
        </w:drawing>
      </w:r>
    </w:p>
    <w:p w:rsidR="00000000" w:rsidDel="00000000" w:rsidP="00000000" w:rsidRDefault="00000000" w:rsidRPr="00000000" w14:paraId="000000F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A">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B">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C">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D">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0FE">
      <w:pPr>
        <w:spacing w:after="200" w:line="335.99999999999994" w:lineRule="auto"/>
        <w:ind w:left="0" w:firstLine="0"/>
        <w:rPr>
          <w:rFonts w:ascii="Arial" w:cs="Arial" w:eastAsia="Arial" w:hAnsi="Arial"/>
          <w:b w:val="1"/>
          <w:bCs w:val="1"/>
          <w:color w:val="727203"/>
          <w:sz w:val="24"/>
          <w:szCs w:val="24"/>
          <w:highlight w:val="yellow"/>
        </w:rPr>
      </w:pPr>
      <w:r w:rsidDel="00000000" w:rsidR="00000000" w:rsidRPr="00000000">
        <w:rPr>
          <w:rtl w:val="0"/>
        </w:rPr>
      </w:r>
    </w:p>
    <w:p w:rsidR="00000000" w:rsidDel="00000000" w:rsidP="00000000" w:rsidRDefault="00000000" w:rsidRPr="00000000" w14:paraId="000000FF">
      <w:pPr>
        <w:spacing w:after="2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ESTIMULAR A INOVAÇÃO NO PODER JUDICIÁRIO:</w:t>
      </w:r>
    </w:p>
    <w:p w:rsidR="00000000" w:rsidDel="00000000" w:rsidP="00000000" w:rsidRDefault="00000000" w:rsidRPr="00000000" w14:paraId="00000100">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Desenvolver, no ano de 2026, dois projetos inovadores, um com foco na melhoria dos serviços judiciais (atividade finalística), e um com foco na melhoria organizacional (processos internos), relacionados a um dos Macrodesafios da Estratégia Nacional, a partir dos Laboratórios de Inovação de ao menos duas instituições públicas. </w:t>
      </w:r>
    </w:p>
    <w:p w:rsidR="00000000" w:rsidDel="00000000" w:rsidP="00000000" w:rsidRDefault="00000000" w:rsidRPr="00000000" w14:paraId="00000101">
      <w:pPr>
        <w:spacing w:before="0" w:line="288"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2">
      <w:pPr>
        <w:spacing w:after="200"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OBJETIVO ESTRATÉGICO:</w:t>
      </w:r>
    </w:p>
    <w:p w:rsidR="00000000" w:rsidDel="00000000" w:rsidP="00000000" w:rsidRDefault="00000000" w:rsidRPr="00000000" w14:paraId="00000103">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o trabalho decente e a sustentabilidade.</w:t>
      </w:r>
    </w:p>
    <w:p w:rsidR="00000000" w:rsidDel="00000000" w:rsidP="00000000" w:rsidRDefault="00000000" w:rsidRPr="00000000" w14:paraId="00000104">
      <w:pPr>
        <w:spacing w:after="200" w:before="400" w:line="335.99999999999994" w:lineRule="auto"/>
        <w:ind w:left="0" w:right="4.133858267717301"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05">
      <w:pPr>
        <w:spacing w:after="60" w:before="60" w:line="276" w:lineRule="auto"/>
        <w:ind w:left="850.3937007874015" w:right="4.133858267717301"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Dois projetos foram cadastrados na plataforma Renovajud:</w:t>
      </w:r>
      <w:r w:rsidDel="00000000" w:rsidR="00000000" w:rsidRPr="00000000">
        <w:rPr>
          <w:rtl w:val="0"/>
        </w:rPr>
      </w:r>
    </w:p>
    <w:p w:rsidR="00000000" w:rsidDel="00000000" w:rsidP="00000000" w:rsidRDefault="00000000" w:rsidRPr="00000000" w14:paraId="00000106">
      <w:pPr>
        <w:numPr>
          <w:ilvl w:val="0"/>
          <w:numId w:val="5"/>
        </w:numPr>
        <w:spacing w:after="60" w:before="60" w:line="276" w:lineRule="auto"/>
        <w:ind w:left="1440" w:right="4.133858267717301" w:hanging="360"/>
        <w:jc w:val="both"/>
        <w:rPr>
          <w:rFonts w:ascii="Arial" w:cs="Arial" w:eastAsia="Arial" w:hAnsi="Arial"/>
          <w:b w:val="1"/>
          <w:bCs w:val="1"/>
          <w:color w:val="000000"/>
          <w:sz w:val="24"/>
          <w:szCs w:val="24"/>
        </w:rPr>
      </w:pPr>
      <w:hyperlink r:id="rId18">
        <w:r w:rsidDel="00000000" w:rsidR="00000000" w:rsidRPr="00000000">
          <w:rPr>
            <w:rFonts w:ascii="Arial" w:cs="Arial" w:eastAsia="Arial" w:hAnsi="Arial"/>
            <w:b w:val="1"/>
            <w:bCs w:val="1"/>
            <w:i w:val="1"/>
            <w:iCs w:val="1"/>
            <w:color w:val="1155cc"/>
            <w:sz w:val="24"/>
            <w:szCs w:val="24"/>
            <w:u w:val="single"/>
            <w:rtl w:val="0"/>
          </w:rPr>
          <w:t xml:space="preserve">“Alerta: Análise de Licitações e Evidências de Restrição à Ampla Concorrência”</w:t>
        </w:r>
      </w:hyperlink>
      <w:r w:rsidDel="00000000" w:rsidR="00000000" w:rsidRPr="00000000">
        <w:rPr>
          <w:rFonts w:ascii="Arial" w:cs="Arial" w:eastAsia="Arial" w:hAnsi="Arial"/>
          <w:b w:val="1"/>
          <w:bCs w:val="1"/>
          <w:color w:val="000000"/>
          <w:sz w:val="24"/>
          <w:szCs w:val="24"/>
          <w:rtl w:val="0"/>
        </w:rPr>
        <w:t xml:space="preserve"> - </w:t>
      </w:r>
      <w:r w:rsidDel="00000000" w:rsidR="00000000" w:rsidRPr="00000000">
        <w:rPr>
          <w:rFonts w:ascii="Arial" w:cs="Arial" w:eastAsia="Arial" w:hAnsi="Arial"/>
          <w:color w:val="000000"/>
          <w:sz w:val="24"/>
          <w:szCs w:val="24"/>
          <w:rtl w:val="0"/>
        </w:rPr>
        <w:t xml:space="preserve">processos internos;</w:t>
      </w:r>
      <w:r w:rsidDel="00000000" w:rsidR="00000000" w:rsidRPr="00000000">
        <w:rPr>
          <w:rtl w:val="0"/>
        </w:rPr>
      </w:r>
    </w:p>
    <w:p w:rsidR="00000000" w:rsidDel="00000000" w:rsidP="00000000" w:rsidRDefault="00000000" w:rsidRPr="00000000" w14:paraId="00000107">
      <w:pPr>
        <w:numPr>
          <w:ilvl w:val="0"/>
          <w:numId w:val="5"/>
        </w:numPr>
        <w:spacing w:after="60" w:before="60" w:line="276" w:lineRule="auto"/>
        <w:ind w:left="1440" w:right="4.133858267717301" w:hanging="360"/>
        <w:jc w:val="both"/>
        <w:rPr>
          <w:rFonts w:ascii="Arial" w:cs="Arial" w:eastAsia="Arial" w:hAnsi="Arial"/>
          <w:b w:val="1"/>
          <w:bCs w:val="1"/>
          <w:color w:val="000000"/>
          <w:sz w:val="24"/>
          <w:szCs w:val="24"/>
        </w:rPr>
      </w:pPr>
      <w:hyperlink r:id="rId19">
        <w:r w:rsidDel="00000000" w:rsidR="00000000" w:rsidRPr="00000000">
          <w:rPr>
            <w:rFonts w:ascii="Arial" w:cs="Arial" w:eastAsia="Arial" w:hAnsi="Arial"/>
            <w:b w:val="1"/>
            <w:bCs w:val="1"/>
            <w:i w:val="1"/>
            <w:iCs w:val="1"/>
            <w:color w:val="1155cc"/>
            <w:sz w:val="24"/>
            <w:szCs w:val="24"/>
            <w:u w:val="single"/>
            <w:rtl w:val="0"/>
          </w:rPr>
          <w:t xml:space="preserve">“Justiça Em Rede: Estruturação do Atendimento nos Pontos de Inclusão Digital” </w:t>
        </w:r>
      </w:hyperlink>
      <w:r w:rsidDel="00000000" w:rsidR="00000000" w:rsidRPr="00000000">
        <w:rPr>
          <w:rFonts w:ascii="Arial" w:cs="Arial" w:eastAsia="Arial" w:hAnsi="Arial"/>
          <w:b w:val="1"/>
          <w:bCs w:val="1"/>
          <w:i w:val="1"/>
          <w:iCs w:val="1"/>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t>
      </w:r>
      <w:r w:rsidDel="00000000" w:rsidR="00000000" w:rsidRPr="00000000">
        <w:rPr>
          <w:rFonts w:ascii="Arial" w:cs="Arial" w:eastAsia="Arial" w:hAnsi="Arial"/>
          <w:color w:val="000000"/>
          <w:sz w:val="24"/>
          <w:szCs w:val="24"/>
          <w:rtl w:val="0"/>
        </w:rPr>
        <w:t xml:space="preserve"> atividade finalística.</w:t>
      </w:r>
      <w:r w:rsidDel="00000000" w:rsidR="00000000" w:rsidRPr="00000000">
        <w:rPr>
          <w:rtl w:val="0"/>
        </w:rPr>
      </w:r>
    </w:p>
    <w:p w:rsidR="00000000" w:rsidDel="00000000" w:rsidP="00000000" w:rsidRDefault="00000000" w:rsidRPr="00000000" w14:paraId="00000108">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9">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A">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B">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C">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D">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E">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0F">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0">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1">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2">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3">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4">
      <w:pPr>
        <w:spacing w:after="60" w:before="60" w:line="276" w:lineRule="auto"/>
        <w:ind w:left="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5">
      <w:pPr>
        <w:spacing w:after="60" w:before="60" w:line="288" w:lineRule="auto"/>
        <w:ind w:left="720" w:firstLine="0"/>
        <w:jc w:val="both"/>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147638</wp:posOffset>
            </wp:positionH>
            <wp:positionV relativeFrom="paragraph">
              <wp:posOffset>114300</wp:posOffset>
            </wp:positionV>
            <wp:extent cx="5667375" cy="971550"/>
            <wp:effectExtent b="0" l="0" r="0" t="0"/>
            <wp:wrapNone/>
            <wp:docPr id="13"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5667375" cy="971550"/>
                    </a:xfrm>
                    <a:prstGeom prst="rect"/>
                    <a:ln/>
                  </pic:spPr>
                </pic:pic>
              </a:graphicData>
            </a:graphic>
          </wp:anchor>
        </w:drawing>
      </w:r>
    </w:p>
    <w:p w:rsidR="00000000" w:rsidDel="00000000" w:rsidP="00000000" w:rsidRDefault="00000000" w:rsidRPr="00000000" w14:paraId="00000116">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17">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18">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19">
      <w:pPr>
        <w:spacing w:before="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1A">
      <w:pPr>
        <w:spacing w:after="400" w:before="500" w:line="276"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2324f"/>
          <w:sz w:val="24"/>
          <w:szCs w:val="24"/>
          <w:rtl w:val="0"/>
        </w:rPr>
        <w:t xml:space="preserve">INSTITUIR, ANUALMENTE, O PLANO DE QUALIDADE DE VIDA DO TRIBUNAL E ALCANÇAR EM 2026:</w:t>
      </w:r>
      <w:r w:rsidDel="00000000" w:rsidR="00000000" w:rsidRPr="00000000">
        <w:rPr>
          <w:rFonts w:ascii="Arial" w:cs="Arial" w:eastAsia="Arial" w:hAnsi="Arial"/>
          <w:color w:val="000000"/>
          <w:sz w:val="24"/>
          <w:szCs w:val="24"/>
          <w:rtl w:val="0"/>
        </w:rPr>
        <w:t xml:space="preserve"> </w:t>
      </w:r>
    </w:p>
    <w:tbl>
      <w:tblPr>
        <w:tblStyle w:val="Table6"/>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1B">
            <w:pPr>
              <w:spacing w:before="0" w:line="288"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a)</w:t>
            </w:r>
            <w:r w:rsidDel="00000000" w:rsidR="00000000" w:rsidRPr="00000000">
              <w:rPr>
                <w:rFonts w:ascii="Arial" w:cs="Arial" w:eastAsia="Arial" w:hAnsi="Arial"/>
                <w:color w:val="000000"/>
                <w:sz w:val="24"/>
                <w:szCs w:val="24"/>
                <w:rtl w:val="0"/>
              </w:rPr>
              <w:t xml:space="preserve"> a participação de pelo menos 10% do número total de magistrados(as) ativos(as) e de pelo menos 15% do número total de servidores(as) ativos(as) no TRT, considerando o quantitativo total de participantes distintos, no conjunto de ações de qualidade de vida planejadas; </w:t>
            </w:r>
          </w:p>
        </w:tc>
      </w:tr>
    </w:tbl>
    <w:p w:rsidR="00000000" w:rsidDel="00000000" w:rsidP="00000000" w:rsidRDefault="00000000" w:rsidRPr="00000000" w14:paraId="0000011C">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1D">
      <w:pPr>
        <w:widowControl w:val="0"/>
        <w:spacing w:before="0" w:line="240" w:lineRule="auto"/>
        <w:ind w:left="0" w:firstLine="7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Até 31/08/2026:</w:t>
      </w:r>
    </w:p>
    <w:p w:rsidR="00000000" w:rsidDel="00000000" w:rsidP="00000000" w:rsidRDefault="00000000" w:rsidRPr="00000000" w14:paraId="0000011E">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55 magistrados(as);</w:t>
      </w:r>
    </w:p>
    <w:p w:rsidR="00000000" w:rsidDel="00000000" w:rsidP="00000000" w:rsidRDefault="00000000" w:rsidRPr="00000000" w14:paraId="0000011F">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684 servidores(as);</w:t>
      </w:r>
    </w:p>
    <w:p w:rsidR="00000000" w:rsidDel="00000000" w:rsidP="00000000" w:rsidRDefault="00000000" w:rsidRPr="00000000" w14:paraId="00000120">
      <w:pPr>
        <w:widowControl w:val="0"/>
        <w:numPr>
          <w:ilvl w:val="0"/>
          <w:numId w:val="9"/>
        </w:numPr>
        <w:spacing w:before="0" w:line="240" w:lineRule="auto"/>
        <w:ind w:left="720"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19 estagiários(as).</w:t>
      </w:r>
      <w:r w:rsidDel="00000000" w:rsidR="00000000" w:rsidRPr="00000000">
        <w:rPr>
          <w:rtl w:val="0"/>
        </w:rPr>
      </w:r>
    </w:p>
    <w:p w:rsidR="00000000" w:rsidDel="00000000" w:rsidP="00000000" w:rsidRDefault="00000000" w:rsidRPr="00000000" w14:paraId="00000121">
      <w:pPr>
        <w:spacing w:before="0" w:line="240" w:lineRule="auto"/>
        <w:ind w:left="0" w:right="4.133858267717301" w:firstLine="0"/>
        <w:rPr>
          <w:rFonts w:ascii="Arial" w:cs="Arial" w:eastAsia="Arial" w:hAnsi="Arial"/>
          <w:color w:val="000000"/>
          <w:highlight w:val="yellow"/>
        </w:rPr>
      </w:pPr>
      <w:r w:rsidDel="00000000" w:rsidR="00000000" w:rsidRPr="00000000">
        <w:rPr>
          <w:rtl w:val="0"/>
        </w:rPr>
      </w:r>
    </w:p>
    <w:tbl>
      <w:tblPr>
        <w:tblStyle w:val="Table7"/>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2">
            <w:pPr>
              <w:spacing w:before="0" w:line="288" w:lineRule="auto"/>
              <w:ind w:left="0" w:right="4.133858267717301"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b)</w:t>
            </w:r>
            <w:r w:rsidDel="00000000" w:rsidR="00000000" w:rsidRPr="00000000">
              <w:rPr>
                <w:rFonts w:ascii="Arial" w:cs="Arial" w:eastAsia="Arial" w:hAnsi="Arial"/>
                <w:color w:val="000000"/>
                <w:sz w:val="24"/>
                <w:szCs w:val="24"/>
                <w:rtl w:val="0"/>
              </w:rPr>
              <w:t xml:space="preserve"> a realização de exames periódicos de saúde em pelo menos 15% dos(as) magistrados(as) e em pelo menos 15% dos(as) servidores(as); </w:t>
            </w:r>
          </w:p>
        </w:tc>
      </w:tr>
    </w:tbl>
    <w:p w:rsidR="00000000" w:rsidDel="00000000" w:rsidP="00000000" w:rsidRDefault="00000000" w:rsidRPr="00000000" w14:paraId="00000123">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24">
      <w:pPr>
        <w:widowControl w:val="0"/>
        <w:spacing w:before="0" w:line="240" w:lineRule="auto"/>
        <w:ind w:left="0" w:firstLine="72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Até 31/08/2026: </w:t>
      </w:r>
    </w:p>
    <w:p w:rsidR="00000000" w:rsidDel="00000000" w:rsidP="00000000" w:rsidRDefault="00000000" w:rsidRPr="00000000" w14:paraId="00000125">
      <w:pPr>
        <w:widowControl w:val="0"/>
        <w:numPr>
          <w:ilvl w:val="0"/>
          <w:numId w:val="8"/>
        </w:numPr>
        <w:spacing w:before="0" w:line="240" w:lineRule="auto"/>
        <w:ind w:left="720" w:hanging="360"/>
        <w:rPr>
          <w:rFonts w:ascii="Arial" w:cs="Arial" w:eastAsia="Arial" w:hAnsi="Arial"/>
        </w:rPr>
      </w:pPr>
      <w:r w:rsidDel="00000000" w:rsidR="00000000" w:rsidRPr="00000000">
        <w:rPr>
          <w:rFonts w:ascii="Arial" w:cs="Arial" w:eastAsia="Arial" w:hAnsi="Arial"/>
          <w:color w:val="000000"/>
          <w:sz w:val="24"/>
          <w:szCs w:val="24"/>
          <w:rtl w:val="0"/>
        </w:rPr>
        <w:t xml:space="preserve">11 magistrados(as);</w:t>
      </w:r>
    </w:p>
    <w:p w:rsidR="00000000" w:rsidDel="00000000" w:rsidP="00000000" w:rsidRDefault="00000000" w:rsidRPr="00000000" w14:paraId="00000126">
      <w:pPr>
        <w:widowControl w:val="0"/>
        <w:numPr>
          <w:ilvl w:val="0"/>
          <w:numId w:val="8"/>
        </w:numPr>
        <w:spacing w:before="0" w:line="240" w:lineRule="auto"/>
        <w:ind w:left="720" w:hanging="360"/>
        <w:rPr>
          <w:rFonts w:ascii="Arial" w:cs="Arial" w:eastAsia="Arial" w:hAnsi="Arial"/>
        </w:rPr>
      </w:pPr>
      <w:r w:rsidDel="00000000" w:rsidR="00000000" w:rsidRPr="00000000">
        <w:rPr>
          <w:rFonts w:ascii="Arial" w:cs="Arial" w:eastAsia="Arial" w:hAnsi="Arial"/>
          <w:color w:val="000000"/>
          <w:sz w:val="24"/>
          <w:szCs w:val="24"/>
          <w:rtl w:val="0"/>
        </w:rPr>
        <w:t xml:space="preserve">559 servidores(as).</w:t>
      </w:r>
    </w:p>
    <w:p w:rsidR="00000000" w:rsidDel="00000000" w:rsidP="00000000" w:rsidRDefault="00000000" w:rsidRPr="00000000" w14:paraId="00000127">
      <w:pPr>
        <w:widowControl w:val="0"/>
        <w:spacing w:before="0" w:line="240" w:lineRule="auto"/>
        <w:ind w:left="720" w:firstLine="0"/>
        <w:rPr>
          <w:rFonts w:ascii="Arial" w:cs="Arial" w:eastAsia="Arial" w:hAnsi="Arial"/>
          <w:color w:val="000000"/>
          <w:sz w:val="24"/>
          <w:szCs w:val="24"/>
          <w:highlight w:val="yellow"/>
        </w:rPr>
      </w:pPr>
      <w:r w:rsidDel="00000000" w:rsidR="00000000" w:rsidRPr="00000000">
        <w:rPr>
          <w:rtl w:val="0"/>
        </w:rPr>
      </w:r>
    </w:p>
    <w:tbl>
      <w:tblPr>
        <w:tblStyle w:val="Table8"/>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28">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c)</w:t>
            </w:r>
            <w:r w:rsidDel="00000000" w:rsidR="00000000" w:rsidRPr="00000000">
              <w:rPr>
                <w:rFonts w:ascii="Arial" w:cs="Arial" w:eastAsia="Arial" w:hAnsi="Arial"/>
                <w:color w:val="000000"/>
                <w:sz w:val="24"/>
                <w:szCs w:val="24"/>
                <w:rtl w:val="0"/>
              </w:rPr>
              <w:t xml:space="preserve"> a promoção de pelo menos 3 (três) ações com vistas a reduzir a incidência de casos de uma das cinco doenças mais frequentes constatadas nos exames periódicos de saúde do ano anterior ou de uma das cinco maiores causas de absenteísmo do ano anterior;</w:t>
            </w:r>
          </w:p>
        </w:tc>
      </w:tr>
    </w:tbl>
    <w:p w:rsidR="00000000" w:rsidDel="00000000" w:rsidP="00000000" w:rsidRDefault="00000000" w:rsidRPr="00000000" w14:paraId="00000129">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2A">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Campanha de vacinação contra Influenza 2026;</w:t>
      </w:r>
      <w:r w:rsidDel="00000000" w:rsidR="00000000" w:rsidRPr="00000000">
        <w:rPr>
          <w:rtl w:val="0"/>
        </w:rPr>
      </w:r>
    </w:p>
    <w:p w:rsidR="00000000" w:rsidDel="00000000" w:rsidP="00000000" w:rsidRDefault="00000000" w:rsidRPr="00000000" w14:paraId="0000012B">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Cuidando do coração de mulher;</w:t>
      </w:r>
      <w:r w:rsidDel="00000000" w:rsidR="00000000" w:rsidRPr="00000000">
        <w:rPr>
          <w:rtl w:val="0"/>
        </w:rPr>
      </w:r>
    </w:p>
    <w:p w:rsidR="00000000" w:rsidDel="00000000" w:rsidP="00000000" w:rsidRDefault="00000000" w:rsidRPr="00000000" w14:paraId="0000012C">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Adequação ergonômica do posto de trabalho;</w:t>
      </w:r>
    </w:p>
    <w:p w:rsidR="00000000" w:rsidDel="00000000" w:rsidP="00000000" w:rsidRDefault="00000000" w:rsidRPr="00000000" w14:paraId="0000012D">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Vamos medir o colesterol;</w:t>
      </w:r>
    </w:p>
    <w:p w:rsidR="00000000" w:rsidDel="00000000" w:rsidP="00000000" w:rsidRDefault="00000000" w:rsidRPr="00000000" w14:paraId="0000012E">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Saúde mental na era das bets: da aposta recreativa ao transtorno do jogo.</w:t>
      </w:r>
    </w:p>
    <w:p w:rsidR="00000000" w:rsidDel="00000000" w:rsidP="00000000" w:rsidRDefault="00000000" w:rsidRPr="00000000" w14:paraId="0000012F">
      <w:pPr>
        <w:widowControl w:val="0"/>
        <w:spacing w:before="0" w:line="240" w:lineRule="auto"/>
        <w:ind w:left="720" w:firstLine="0"/>
        <w:rPr>
          <w:rFonts w:ascii="Arial" w:cs="Arial" w:eastAsia="Arial" w:hAnsi="Arial"/>
          <w:color w:val="000000"/>
          <w:sz w:val="24"/>
          <w:szCs w:val="24"/>
        </w:rPr>
      </w:pPr>
      <w:r w:rsidDel="00000000" w:rsidR="00000000" w:rsidRPr="00000000">
        <w:rPr>
          <w:rtl w:val="0"/>
        </w:rPr>
      </w:r>
    </w:p>
    <w:tbl>
      <w:tblPr>
        <w:tblStyle w:val="Table9"/>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52"/>
        <w:tblGridChange w:id="0">
          <w:tblGrid>
            <w:gridCol w:w="9052"/>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30">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b w:val="1"/>
                <w:bCs w:val="1"/>
                <w:color w:val="000000"/>
                <w:sz w:val="24"/>
                <w:szCs w:val="24"/>
                <w:rtl w:val="0"/>
              </w:rPr>
              <w:t xml:space="preserve">d)</w:t>
            </w:r>
            <w:r w:rsidDel="00000000" w:rsidR="00000000" w:rsidRPr="00000000">
              <w:rPr>
                <w:rFonts w:ascii="Arial" w:cs="Arial" w:eastAsia="Arial" w:hAnsi="Arial"/>
                <w:color w:val="000000"/>
                <w:sz w:val="24"/>
                <w:szCs w:val="24"/>
                <w:rtl w:val="0"/>
              </w:rPr>
              <w:t xml:space="preserve"> a promoção de pelo menos 1 (uma) ação em que participem terceirizados(as), estagiários(as) e aprendizes. </w:t>
            </w:r>
          </w:p>
        </w:tc>
      </w:tr>
    </w:tbl>
    <w:p w:rsidR="00000000" w:rsidDel="00000000" w:rsidP="00000000" w:rsidRDefault="00000000" w:rsidRPr="00000000" w14:paraId="00000131">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32">
      <w:pPr>
        <w:widowControl w:val="0"/>
        <w:numPr>
          <w:ilvl w:val="0"/>
          <w:numId w:val="3"/>
        </w:numPr>
        <w:spacing w:before="0" w:line="240" w:lineRule="auto"/>
        <w:ind w:left="720" w:hanging="360"/>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Campanha de vacinação contra Influenza 2026;</w:t>
      </w:r>
      <w:r w:rsidDel="00000000" w:rsidR="00000000" w:rsidRPr="00000000">
        <w:rPr>
          <w:rtl w:val="0"/>
        </w:rPr>
      </w:r>
    </w:p>
    <w:p w:rsidR="00000000" w:rsidDel="00000000" w:rsidP="00000000" w:rsidRDefault="00000000" w:rsidRPr="00000000" w14:paraId="00000133">
      <w:pPr>
        <w:widowControl w:val="0"/>
        <w:numPr>
          <w:ilvl w:val="0"/>
          <w:numId w:val="3"/>
        </w:numPr>
        <w:spacing w:before="0" w:line="240" w:lineRule="auto"/>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Saúde mental na era das bets: da aposta recreativa ao transtorno do jogo.</w:t>
      </w:r>
    </w:p>
    <w:p w:rsidR="00000000" w:rsidDel="00000000" w:rsidP="00000000" w:rsidRDefault="00000000" w:rsidRPr="00000000" w14:paraId="00000134">
      <w:pPr>
        <w:widowControl w:val="0"/>
        <w:spacing w:before="0" w:line="240" w:lineRule="auto"/>
        <w:ind w:left="0" w:firstLine="72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5">
      <w:pPr>
        <w:spacing w:after="20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36">
      <w:pPr>
        <w:numPr>
          <w:ilvl w:val="0"/>
          <w:numId w:val="6"/>
        </w:numPr>
        <w:spacing w:before="0" w:line="288"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Incrementar modelo de gestão de pessoas em âmbito nacional.</w:t>
      </w:r>
    </w:p>
    <w:p w:rsidR="00000000" w:rsidDel="00000000" w:rsidP="00000000" w:rsidRDefault="00000000" w:rsidRPr="00000000" w14:paraId="00000137">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E">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3F">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0">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1">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2">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3">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4">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5">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6">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7">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E">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4F">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0">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1">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2">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3">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4">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5">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6">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7">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8">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9">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A">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B">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315875</wp:posOffset>
            </wp:positionH>
            <wp:positionV relativeFrom="paragraph">
              <wp:posOffset>231155</wp:posOffset>
            </wp:positionV>
            <wp:extent cx="5591175" cy="944857"/>
            <wp:effectExtent b="0" l="0" r="0" t="0"/>
            <wp:wrapNone/>
            <wp:docPr id="12"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591175" cy="944857"/>
                    </a:xfrm>
                    <a:prstGeom prst="rect"/>
                    <a:ln/>
                  </pic:spPr>
                </pic:pic>
              </a:graphicData>
            </a:graphic>
          </wp:anchor>
        </w:drawing>
      </w:r>
    </w:p>
    <w:p w:rsidR="00000000" w:rsidDel="00000000" w:rsidP="00000000" w:rsidRDefault="00000000" w:rsidRPr="00000000" w14:paraId="0000015C">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D">
      <w:pPr>
        <w:spacing w:before="0" w:line="240" w:lineRule="auto"/>
        <w:ind w:left="8"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E">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5F">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0">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1">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2">
      <w:pPr>
        <w:spacing w:before="0" w:line="240"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3">
      <w:pPr>
        <w:spacing w:after="60" w:before="60" w:line="276" w:lineRule="auto"/>
        <w:ind w:left="0" w:right="4.133858267717301" w:firstLine="0"/>
        <w:jc w:val="both"/>
        <w:rPr>
          <w:rFonts w:ascii="Arial" w:cs="Arial" w:eastAsia="Arial" w:hAnsi="Arial"/>
          <w:b w:val="1"/>
          <w:bCs w:val="1"/>
          <w:color w:val="000000"/>
          <w:sz w:val="24"/>
          <w:szCs w:val="24"/>
        </w:rPr>
      </w:pPr>
      <w:r w:rsidDel="00000000" w:rsidR="00000000" w:rsidRPr="00000000">
        <w:rPr>
          <w:rFonts w:ascii="Arial" w:cs="Arial" w:eastAsia="Arial" w:hAnsi="Arial"/>
          <w:b w:val="1"/>
          <w:bCs w:val="1"/>
          <w:color w:val="02324f"/>
          <w:sz w:val="24"/>
          <w:szCs w:val="24"/>
          <w:rtl w:val="0"/>
        </w:rPr>
        <w:t xml:space="preserve">AUMENTAR O ÍNDICE DE PROMOÇÃO DA EQUIDADE RACIAL (IPERJT) EM 5% EM RELAÇÃO AO DESEMPENHO DE 2025, OU ALCANÇAR, NO MÍNIMO, 50% DA PONTUAÇÃO GERAL DO IPERJT.</w:t>
      </w:r>
      <w:r w:rsidDel="00000000" w:rsidR="00000000" w:rsidRPr="00000000">
        <w:rPr>
          <w:rtl w:val="0"/>
        </w:rPr>
      </w:r>
    </w:p>
    <w:p w:rsidR="00000000" w:rsidDel="00000000" w:rsidP="00000000" w:rsidRDefault="00000000" w:rsidRPr="00000000" w14:paraId="00000164">
      <w:pPr>
        <w:spacing w:after="60" w:before="60" w:line="276" w:lineRule="auto"/>
        <w:ind w:left="0" w:right="4.133858267717301" w:firstLine="0"/>
        <w:jc w:val="both"/>
        <w:rPr>
          <w:rFonts w:ascii="Arial" w:cs="Arial" w:eastAsia="Arial" w:hAnsi="Arial"/>
          <w:b w:val="1"/>
          <w:bCs w:val="1"/>
          <w:color w:val="000000"/>
          <w:sz w:val="24"/>
          <w:szCs w:val="24"/>
          <w:highlight w:val="yellow"/>
        </w:rPr>
      </w:pPr>
      <w:r w:rsidDel="00000000" w:rsidR="00000000" w:rsidRPr="00000000">
        <w:rPr>
          <w:rtl w:val="0"/>
        </w:rPr>
      </w:r>
    </w:p>
    <w:p w:rsidR="00000000" w:rsidDel="00000000" w:rsidP="00000000" w:rsidRDefault="00000000" w:rsidRPr="00000000" w14:paraId="00000165">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66">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Incrementar modelo de gestão de pessoas em âmbito nacional.</w:t>
      </w:r>
    </w:p>
    <w:p w:rsidR="00000000" w:rsidDel="00000000" w:rsidP="00000000" w:rsidRDefault="00000000" w:rsidRPr="00000000" w14:paraId="00000167">
      <w:pPr>
        <w:spacing w:after="60" w:before="60" w:line="276"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p>
    <w:p w:rsidR="00000000" w:rsidDel="00000000" w:rsidP="00000000" w:rsidRDefault="00000000" w:rsidRPr="00000000" w14:paraId="00000168">
      <w:pPr>
        <w:spacing w:after="60" w:before="60" w:line="276"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69">
      <w:pPr>
        <w:numPr>
          <w:ilvl w:val="0"/>
          <w:numId w:val="1"/>
        </w:numPr>
        <w:spacing w:after="60" w:before="60" w:line="276" w:lineRule="auto"/>
        <w:ind w:left="708.6614173228347"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 índice ainda não foi apurado pelo CNJ. No entanto, já foi publicada a </w:t>
      </w:r>
      <w:hyperlink r:id="rId22">
        <w:r w:rsidDel="00000000" w:rsidR="00000000" w:rsidRPr="00000000">
          <w:rPr>
            <w:rFonts w:ascii="Arial" w:cs="Arial" w:eastAsia="Arial" w:hAnsi="Arial"/>
            <w:color w:val="1155cc"/>
            <w:sz w:val="24"/>
            <w:szCs w:val="24"/>
            <w:u w:val="single"/>
            <w:rtl w:val="0"/>
          </w:rPr>
          <w:t xml:space="preserve">Portaria Presidência nº 238 de 01 de Junho de 2026</w:t>
        </w:r>
      </w:hyperlink>
      <w:r w:rsidDel="00000000" w:rsidR="00000000" w:rsidRPr="00000000">
        <w:rPr>
          <w:rFonts w:ascii="Arial" w:cs="Arial" w:eastAsia="Arial" w:hAnsi="Arial"/>
          <w:color w:val="000000"/>
          <w:sz w:val="24"/>
          <w:szCs w:val="24"/>
          <w:rtl w:val="0"/>
        </w:rPr>
        <w:t xml:space="preserve">, do CNJ, que regulamenta o IPER para o ano de 2026. </w:t>
      </w:r>
    </w:p>
    <w:p w:rsidR="00000000" w:rsidDel="00000000" w:rsidP="00000000" w:rsidRDefault="00000000" w:rsidRPr="00000000" w14:paraId="0000016A">
      <w:pPr>
        <w:spacing w:after="60" w:before="60" w:line="276" w:lineRule="auto"/>
        <w:ind w:left="0"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B">
      <w:pPr>
        <w:spacing w:after="60" w:before="60" w:line="276" w:lineRule="auto"/>
        <w:ind w:left="720" w:firstLine="0"/>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6C">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6D">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6E">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6F">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0">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1">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2">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3">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4">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5">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6">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7">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8">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9">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A">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B">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C">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D">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158750</wp:posOffset>
            </wp:positionH>
            <wp:positionV relativeFrom="paragraph">
              <wp:posOffset>114300</wp:posOffset>
            </wp:positionV>
            <wp:extent cx="5648325" cy="862765"/>
            <wp:effectExtent b="0" l="0" r="0" t="0"/>
            <wp:wrapNone/>
            <wp:docPr id="11"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5648325" cy="862765"/>
                    </a:xfrm>
                    <a:prstGeom prst="rect"/>
                    <a:ln/>
                  </pic:spPr>
                </pic:pic>
              </a:graphicData>
            </a:graphic>
          </wp:anchor>
        </w:drawing>
      </w:r>
    </w:p>
    <w:p w:rsidR="00000000" w:rsidDel="00000000" w:rsidP="00000000" w:rsidRDefault="00000000" w:rsidRPr="00000000" w14:paraId="0000017E">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7F">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0">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1">
      <w:pPr>
        <w:spacing w:after="60" w:before="60" w:line="276"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82">
      <w:pPr>
        <w:spacing w:after="60" w:before="60" w:line="276" w:lineRule="auto"/>
        <w:ind w:left="0" w:right="4.133858267717301" w:firstLine="0"/>
        <w:jc w:val="both"/>
        <w:rPr>
          <w:rFonts w:ascii="Arial" w:cs="Arial" w:eastAsia="Arial" w:hAnsi="Arial"/>
          <w:b w:val="1"/>
          <w:bCs w:val="1"/>
        </w:rPr>
      </w:pPr>
      <w:r w:rsidDel="00000000" w:rsidR="00000000" w:rsidRPr="00000000">
        <w:rPr>
          <w:rFonts w:ascii="Arial" w:cs="Arial" w:eastAsia="Arial" w:hAnsi="Arial"/>
          <w:b w:val="1"/>
          <w:bCs w:val="1"/>
          <w:color w:val="02324f"/>
          <w:sz w:val="24"/>
          <w:szCs w:val="24"/>
          <w:rtl w:val="0"/>
        </w:rPr>
        <w:t xml:space="preserve">AUMENTAR O ÍNDICE DE EXECUÇÕES EXTINTAS POR SATISFAÇÃO DA OBRIGAÇÃO EM 0,5 PONTO PERCENTUAL EM RELAÇÃO À MÉDIA DO BIÊNIO ANTERIOR OU ALCANÇAR, NO MÍNIMO, 80% DE EXECUÇÕES EXTINTAS POR ESSE FUNDAMENTO, EXCLUÍDAS AS EXECUÇÕES FISCAIS.</w:t>
      </w:r>
      <w:r w:rsidDel="00000000" w:rsidR="00000000" w:rsidRPr="00000000">
        <w:rPr>
          <w:rtl w:val="0"/>
        </w:rPr>
      </w:r>
    </w:p>
    <w:p w:rsidR="00000000" w:rsidDel="00000000" w:rsidP="00000000" w:rsidRDefault="00000000" w:rsidRPr="00000000" w14:paraId="00000183">
      <w:pPr>
        <w:spacing w:after="60" w:before="60" w:line="276" w:lineRule="auto"/>
        <w:ind w:left="720" w:right="-14.330708661418612"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84">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85">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Garantir a duração razoável do processo.</w:t>
      </w:r>
    </w:p>
    <w:p w:rsidR="00000000" w:rsidDel="00000000" w:rsidP="00000000" w:rsidRDefault="00000000" w:rsidRPr="00000000" w14:paraId="00000186">
      <w:pPr>
        <w:spacing w:before="0" w:line="240" w:lineRule="auto"/>
        <w:ind w:left="720" w:right="4.13385826771730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87">
      <w:pPr>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RESULTADO TRT-RS:</w:t>
      </w:r>
    </w:p>
    <w:p w:rsidR="00000000" w:rsidDel="00000000" w:rsidP="00000000" w:rsidRDefault="00000000" w:rsidRPr="00000000" w14:paraId="00000188">
      <w:pPr>
        <w:ind w:left="0" w:firstLine="0"/>
        <w:rPr>
          <w:rFonts w:ascii="Arial" w:cs="Arial" w:eastAsia="Arial" w:hAnsi="Arial"/>
          <w:b w:val="1"/>
          <w:bCs w:val="1"/>
          <w:color w:val="c31f5a"/>
          <w:sz w:val="2"/>
          <w:szCs w:val="2"/>
          <w:highlight w:val="yellow"/>
        </w:rPr>
      </w:pPr>
      <w:r w:rsidDel="00000000" w:rsidR="00000000" w:rsidRPr="00000000">
        <w:rPr>
          <w:rtl w:val="0"/>
        </w:rPr>
      </w:r>
    </w:p>
    <w:tbl>
      <w:tblPr>
        <w:tblStyle w:val="Table10"/>
        <w:tblW w:w="8475.0"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2010"/>
        <w:gridCol w:w="2565"/>
        <w:gridCol w:w="2535"/>
        <w:tblGridChange w:id="0">
          <w:tblGrid>
            <w:gridCol w:w="1365"/>
            <w:gridCol w:w="2010"/>
            <w:gridCol w:w="2565"/>
            <w:gridCol w:w="253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9">
            <w:pPr>
              <w:widowControl w:val="0"/>
              <w:spacing w:before="0" w:line="240" w:lineRule="auto"/>
              <w:ind w:left="0" w:firstLine="0"/>
              <w:jc w:val="center"/>
              <w:rPr>
                <w:rFonts w:ascii="Arial" w:cs="Arial" w:eastAsia="Arial" w:hAnsi="Arial"/>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A">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IEESO </w:t>
            </w:r>
          </w:p>
          <w:p w:rsidR="00000000" w:rsidDel="00000000" w:rsidP="00000000" w:rsidRDefault="00000000" w:rsidRPr="00000000" w14:paraId="0000018B">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(Meta 85,96%)</w:t>
            </w:r>
          </w:p>
        </w:tc>
        <w:tc>
          <w:tcPr>
            <w:tcBorders>
              <w:top w:color="bdc1c6" w:space="0" w:sz="8" w:val="single"/>
              <w:left w:color="bdc1c6" w:space="0" w:sz="8" w:val="single"/>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C">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Total de Execuções Extintas</w:t>
            </w:r>
          </w:p>
        </w:tc>
        <w:tc>
          <w:tcPr>
            <w:tcBorders>
              <w:top w:color="bdc1c6" w:space="0" w:sz="8" w:val="single"/>
              <w:left w:color="bdc1c6" w:space="0" w:sz="8" w:val="single"/>
              <w:bottom w:color="bdc1c6" w:space="0" w:sz="8" w:val="single"/>
              <w:right w:color="000000" w:space="0" w:sz="0" w:val="nil"/>
            </w:tcBorders>
            <w:shd w:fill="003a5e" w:val="clear"/>
            <w:tcMar>
              <w:top w:w="100.0" w:type="dxa"/>
              <w:left w:w="100.0" w:type="dxa"/>
              <w:bottom w:w="100.0" w:type="dxa"/>
              <w:right w:w="100.0" w:type="dxa"/>
            </w:tcMar>
            <w:vAlign w:val="bottom"/>
          </w:tcPr>
          <w:p w:rsidR="00000000" w:rsidDel="00000000" w:rsidP="00000000" w:rsidRDefault="00000000" w:rsidRPr="00000000" w14:paraId="0000018D">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Execuções Extintas por Satisfação de Obrigação</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03a5e" w:val="clear"/>
            <w:tcMar>
              <w:top w:w="100.0" w:type="dxa"/>
              <w:left w:w="100.0" w:type="dxa"/>
              <w:bottom w:w="100.0" w:type="dxa"/>
              <w:right w:w="100.0" w:type="dxa"/>
            </w:tcMar>
            <w:vAlign w:val="bottom"/>
          </w:tcPr>
          <w:p w:rsidR="00000000" w:rsidDel="00000000" w:rsidP="00000000" w:rsidRDefault="00000000" w:rsidRPr="00000000" w14:paraId="0000018E">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color w:val="ffffff"/>
                <w:rtl w:val="0"/>
              </w:rPr>
              <w:t xml:space="preserve">TRT-RS</w:t>
            </w:r>
          </w:p>
        </w:tc>
        <w:tc>
          <w:tcPr>
            <w:tcBorders>
              <w:top w:color="bdc1c6" w:space="0" w:sz="8" w:val="single"/>
              <w:left w:color="000000" w:space="0" w:sz="0" w:val="nil"/>
              <w:bottom w:color="bdc1c6" w:space="0" w:sz="8" w:val="single"/>
              <w:right w:color="bdc1c6" w:space="0" w:sz="8" w:val="single"/>
            </w:tcBorders>
            <w:tcMar>
              <w:top w:w="100.0" w:type="dxa"/>
              <w:left w:w="100.0" w:type="dxa"/>
              <w:bottom w:w="100.0" w:type="dxa"/>
              <w:right w:w="100.0" w:type="dxa"/>
            </w:tcMar>
            <w:vAlign w:val="top"/>
          </w:tcPr>
          <w:p w:rsidR="00000000" w:rsidDel="00000000" w:rsidP="00000000" w:rsidRDefault="00000000" w:rsidRPr="00000000" w14:paraId="0000018F">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90,36%</w:t>
            </w:r>
          </w:p>
        </w:tc>
        <w:tc>
          <w:tcPr>
            <w:tcBorders>
              <w:top w:color="bdc1c6" w:space="0" w:sz="8" w:val="single"/>
              <w:left w:color="bdc1c6" w:space="0" w:sz="8" w:val="single"/>
              <w:bottom w:color="bdc1c6" w:space="0" w:sz="8" w:val="single"/>
              <w:right w:color="bdc1c6" w:space="0" w:sz="8" w:val="single"/>
            </w:tcBorders>
            <w:tcMar>
              <w:top w:w="100.0" w:type="dxa"/>
              <w:left w:w="100.0" w:type="dxa"/>
              <w:bottom w:w="100.0" w:type="dxa"/>
              <w:right w:w="100.0" w:type="dxa"/>
            </w:tcMar>
            <w:vAlign w:val="top"/>
          </w:tcPr>
          <w:p w:rsidR="00000000" w:rsidDel="00000000" w:rsidP="00000000" w:rsidRDefault="00000000" w:rsidRPr="00000000" w14:paraId="00000190">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74.299</w:t>
            </w:r>
          </w:p>
        </w:tc>
        <w:tc>
          <w:tcPr>
            <w:tcBorders>
              <w:top w:color="bdc1c6" w:space="0" w:sz="8" w:val="single"/>
              <w:left w:color="bdc1c6" w:space="0" w:sz="8" w:val="single"/>
              <w:bottom w:color="bdc1c6" w:space="0" w:sz="8" w:val="single"/>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widowControl w:val="0"/>
              <w:spacing w:before="0" w:line="240"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67.136</w:t>
            </w:r>
          </w:p>
        </w:tc>
      </w:tr>
    </w:tbl>
    <w:p w:rsidR="00000000" w:rsidDel="00000000" w:rsidP="00000000" w:rsidRDefault="00000000" w:rsidRPr="00000000" w14:paraId="00000192">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3">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609600</wp:posOffset>
            </wp:positionH>
            <wp:positionV relativeFrom="paragraph">
              <wp:posOffset>200025</wp:posOffset>
            </wp:positionV>
            <wp:extent cx="4508236" cy="1946072"/>
            <wp:effectExtent b="0" l="0" r="0" t="0"/>
            <wp:wrapNone/>
            <wp:docPr id="2"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4508236" cy="1946072"/>
                    </a:xfrm>
                    <a:prstGeom prst="rect"/>
                    <a:ln/>
                  </pic:spPr>
                </pic:pic>
              </a:graphicData>
            </a:graphic>
          </wp:anchor>
        </w:drawing>
      </w:r>
    </w:p>
    <w:p w:rsidR="00000000" w:rsidDel="00000000" w:rsidP="00000000" w:rsidRDefault="00000000" w:rsidRPr="00000000" w14:paraId="00000194">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5">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6">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7">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8">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9">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A">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B">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C">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D">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E">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9F">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0">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1">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2">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3">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4">
      <w:pPr>
        <w:spacing w:before="0" w:line="240" w:lineRule="auto"/>
        <w:ind w:left="8" w:firstLine="0"/>
        <w:jc w:val="center"/>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5">
      <w:pPr>
        <w:spacing w:before="0" w:line="240"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147638</wp:posOffset>
            </wp:positionH>
            <wp:positionV relativeFrom="paragraph">
              <wp:posOffset>114300</wp:posOffset>
            </wp:positionV>
            <wp:extent cx="5648325" cy="800100"/>
            <wp:effectExtent b="0" l="0" r="0" t="0"/>
            <wp:wrapNone/>
            <wp:docPr id="10"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648325" cy="800100"/>
                    </a:xfrm>
                    <a:prstGeom prst="rect"/>
                    <a:ln/>
                  </pic:spPr>
                </pic:pic>
              </a:graphicData>
            </a:graphic>
          </wp:anchor>
        </w:drawing>
      </w:r>
    </w:p>
    <w:p w:rsidR="00000000" w:rsidDel="00000000" w:rsidP="00000000" w:rsidRDefault="00000000" w:rsidRPr="00000000" w14:paraId="000001A6">
      <w:pPr>
        <w:spacing w:before="0" w:line="240" w:lineRule="auto"/>
        <w:ind w:left="720" w:right="-14.330708661418612" w:firstLine="0"/>
        <w:jc w:val="both"/>
        <w:rPr>
          <w:rFonts w:ascii="Arial" w:cs="Arial" w:eastAsia="Arial" w:hAnsi="Arial"/>
          <w:b w:val="1"/>
          <w:bCs w:val="1"/>
          <w:color w:val="013250"/>
          <w:sz w:val="24"/>
          <w:szCs w:val="24"/>
          <w:highlight w:val="yellow"/>
        </w:rPr>
      </w:pPr>
      <w:r w:rsidDel="00000000" w:rsidR="00000000" w:rsidRPr="00000000">
        <w:rPr>
          <w:rtl w:val="0"/>
        </w:rPr>
      </w:r>
    </w:p>
    <w:p w:rsidR="00000000" w:rsidDel="00000000" w:rsidP="00000000" w:rsidRDefault="00000000" w:rsidRPr="00000000" w14:paraId="000001A7">
      <w:pPr>
        <w:spacing w:before="0" w:line="240" w:lineRule="auto"/>
        <w:ind w:left="72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8">
      <w:pPr>
        <w:spacing w:before="0" w:line="240" w:lineRule="auto"/>
        <w:ind w:left="0" w:right="-14.330708661418612" w:firstLine="0"/>
        <w:jc w:val="both"/>
        <w:rPr>
          <w:rFonts w:ascii="Arial" w:cs="Arial" w:eastAsia="Arial" w:hAnsi="Arial"/>
          <w:b w:val="1"/>
          <w:bCs w:val="1"/>
          <w:color w:val="013250"/>
          <w:sz w:val="30"/>
          <w:szCs w:val="30"/>
          <w:highlight w:val="yellow"/>
        </w:rPr>
      </w:pPr>
      <w:r w:rsidDel="00000000" w:rsidR="00000000" w:rsidRPr="00000000">
        <w:rPr>
          <w:rtl w:val="0"/>
        </w:rPr>
      </w:r>
    </w:p>
    <w:p w:rsidR="00000000" w:rsidDel="00000000" w:rsidP="00000000" w:rsidRDefault="00000000" w:rsidRPr="00000000" w14:paraId="000001A9">
      <w:pPr>
        <w:spacing w:before="0" w:line="240" w:lineRule="auto"/>
        <w:ind w:left="0" w:right="191" w:firstLine="0"/>
        <w:jc w:val="both"/>
        <w:rPr>
          <w:rFonts w:ascii="Arial" w:cs="Arial" w:eastAsia="Arial" w:hAnsi="Arial"/>
          <w:color w:val="000000"/>
          <w:sz w:val="24"/>
          <w:szCs w:val="24"/>
          <w:highlight w:val="yellow"/>
        </w:rPr>
      </w:pPr>
      <w:r w:rsidDel="00000000" w:rsidR="00000000" w:rsidRPr="00000000">
        <w:rPr>
          <w:rtl w:val="0"/>
        </w:rPr>
      </w:r>
    </w:p>
    <w:p w:rsidR="00000000" w:rsidDel="00000000" w:rsidP="00000000" w:rsidRDefault="00000000" w:rsidRPr="00000000" w14:paraId="000001AA">
      <w:pPr>
        <w:spacing w:before="0" w:line="240" w:lineRule="auto"/>
        <w:ind w:left="0" w:firstLine="0"/>
        <w:rPr>
          <w:rFonts w:ascii="Arial" w:cs="Arial" w:eastAsia="Arial" w:hAnsi="Arial"/>
          <w:b w:val="1"/>
          <w:bCs w:val="1"/>
          <w:color w:val="000000"/>
          <w:sz w:val="24"/>
          <w:szCs w:val="24"/>
          <w:highlight w:val="yellow"/>
        </w:rPr>
      </w:pPr>
      <w:r w:rsidDel="00000000" w:rsidR="00000000" w:rsidRPr="00000000">
        <w:rPr>
          <w:rtl w:val="0"/>
        </w:rPr>
      </w:r>
    </w:p>
    <w:tbl>
      <w:tblPr>
        <w:tblStyle w:val="Table11"/>
        <w:tblW w:w="9052.0" w:type="dxa"/>
        <w:jc w:val="left"/>
        <w:tblInd w:w="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26"/>
        <w:gridCol w:w="4526"/>
        <w:tblGridChange w:id="0">
          <w:tblGrid>
            <w:gridCol w:w="4526"/>
            <w:gridCol w:w="4526"/>
          </w:tblGrid>
        </w:tblGridChange>
      </w:tblGrid>
      <w:tr>
        <w:trPr>
          <w:cantSplit w:val="0"/>
          <w:trHeight w:val="440" w:hRule="atLeast"/>
          <w:tblHeader w:val="0"/>
        </w:trPr>
        <w:tc>
          <w:tcPr>
            <w:gridSpan w:val="2"/>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AB">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Implantar, em cada estado, Comitê Executivo Estadual composto por representantes de cada um dos ramos do Poder Judiciário, conforme previsto no art. 7º da Resolução CNJ nº 350/2020. </w:t>
            </w:r>
          </w:p>
        </w:tc>
      </w:tr>
    </w:tbl>
    <w:p w:rsidR="00000000" w:rsidDel="00000000" w:rsidP="00000000" w:rsidRDefault="00000000" w:rsidRPr="00000000" w14:paraId="000001AD">
      <w:pPr>
        <w:spacing w:after="200" w:before="400" w:lineRule="auto"/>
        <w:ind w:left="0" w:right="4.133858267717301"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AE">
      <w:pPr>
        <w:spacing w:before="0" w:line="276" w:lineRule="auto"/>
        <w:ind w:left="0" w:right="-14.330708661418612" w:firstLine="7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 novembro de 2023, foi criada a Rede Sul de Cooperação Judiciária, que reúne o TRT-RS, o TRT-SC, o TJRS, o TRF4, o TRE, o TJMRS, o TJSC, o TJPR e as 1ª, 2ª e 3ª Auditorias militares da 3ª Circunscrição Judiciária Militar, dando-se atendimento ao contido no art. 7º da </w:t>
      </w:r>
      <w:hyperlink r:id="rId26">
        <w:r w:rsidDel="00000000" w:rsidR="00000000" w:rsidRPr="00000000">
          <w:rPr>
            <w:rFonts w:ascii="Arial" w:cs="Arial" w:eastAsia="Arial" w:hAnsi="Arial"/>
            <w:color w:val="1155cc"/>
            <w:sz w:val="24"/>
            <w:szCs w:val="24"/>
            <w:u w:val="single"/>
            <w:rtl w:val="0"/>
          </w:rPr>
          <w:t xml:space="preserve">Resolução CNJ 350/2020</w:t>
        </w:r>
      </w:hyperlink>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1AF">
      <w:pPr>
        <w:spacing w:before="0" w:line="276" w:lineRule="auto"/>
        <w:ind w:left="0" w:right="-14.330708661418612" w:firstLine="720"/>
        <w:jc w:val="both"/>
        <w:rPr>
          <w:rFonts w:ascii="Arial" w:cs="Arial" w:eastAsia="Arial" w:hAnsi="Arial"/>
          <w:color w:val="000000"/>
          <w:sz w:val="24"/>
          <w:szCs w:val="24"/>
          <w:highlight w:val="yellow"/>
        </w:rPr>
      </w:pPr>
      <w:r w:rsidDel="00000000" w:rsidR="00000000" w:rsidRPr="00000000">
        <w:rPr>
          <w:rtl w:val="0"/>
        </w:rPr>
      </w:r>
    </w:p>
    <w:tbl>
      <w:tblPr>
        <w:tblStyle w:val="Table12"/>
        <w:tblW w:w="90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cfe2f3" w:val="clear"/>
            <w:tcMar>
              <w:top w:w="100.0" w:type="dxa"/>
              <w:left w:w="100.0" w:type="dxa"/>
              <w:bottom w:w="100.0" w:type="dxa"/>
              <w:right w:w="100.0" w:type="dxa"/>
            </w:tcMar>
            <w:vAlign w:val="top"/>
          </w:tcPr>
          <w:p w:rsidR="00000000" w:rsidDel="00000000" w:rsidP="00000000" w:rsidRDefault="00000000" w:rsidRPr="00000000" w14:paraId="000001B0">
            <w:pPr>
              <w:spacing w:before="0" w:line="276" w:lineRule="auto"/>
              <w:ind w:left="0" w:right="-14.330708661418612"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Celebrar pelo menos 1 (um) acordo com instituições parceiras para a prevenção e a resolução consensual de litígios. </w:t>
            </w:r>
          </w:p>
        </w:tc>
      </w:tr>
    </w:tbl>
    <w:p w:rsidR="00000000" w:rsidDel="00000000" w:rsidP="00000000" w:rsidRDefault="00000000" w:rsidRPr="00000000" w14:paraId="000001B1">
      <w:pPr>
        <w:spacing w:after="200" w:before="400" w:lineRule="auto"/>
        <w:ind w:left="0" w:right="4.133858267717301"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B2">
      <w:pPr>
        <w:spacing w:after="200" w:before="400" w:lineRule="auto"/>
        <w:ind w:left="0" w:right="4.133858267717301" w:firstLine="72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Estão vigentes os seguintes acordos:</w:t>
      </w:r>
    </w:p>
    <w:tbl>
      <w:tblPr>
        <w:tblStyle w:val="Table13"/>
        <w:tblW w:w="9060.0" w:type="dxa"/>
        <w:jc w:val="left"/>
        <w:tblInd w:w="5.00000000000014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5"/>
        <w:gridCol w:w="1410"/>
        <w:gridCol w:w="5565"/>
        <w:tblGridChange w:id="0">
          <w:tblGrid>
            <w:gridCol w:w="2085"/>
            <w:gridCol w:w="1410"/>
            <w:gridCol w:w="556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3">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Acordo </w:t>
            </w:r>
          </w:p>
        </w:tc>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4">
            <w:pPr>
              <w:widowControl w:val="0"/>
              <w:spacing w:before="0" w:line="240" w:lineRule="auto"/>
              <w:ind w:left="0" w:firstLine="0"/>
              <w:jc w:val="center"/>
              <w:rPr>
                <w:rFonts w:ascii="Arial" w:cs="Arial" w:eastAsia="Arial" w:hAnsi="Arial"/>
                <w:color w:val="ffffff"/>
              </w:rPr>
            </w:pPr>
            <w:r w:rsidDel="00000000" w:rsidR="00000000" w:rsidRPr="00000000">
              <w:rPr>
                <w:rFonts w:ascii="Arial" w:cs="Arial" w:eastAsia="Arial" w:hAnsi="Arial"/>
                <w:b w:val="1"/>
                <w:bCs w:val="1"/>
                <w:color w:val="ffffff"/>
                <w:rtl w:val="0"/>
              </w:rPr>
              <w:t xml:space="preserve">Órgão </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02324f" w:val="clear"/>
            <w:tcMar>
              <w:top w:w="100.0" w:type="dxa"/>
              <w:left w:w="100.0" w:type="dxa"/>
              <w:bottom w:w="100.0" w:type="dxa"/>
              <w:right w:w="100.0" w:type="dxa"/>
            </w:tcMar>
            <w:vAlign w:val="center"/>
          </w:tcPr>
          <w:p w:rsidR="00000000" w:rsidDel="00000000" w:rsidP="00000000" w:rsidRDefault="00000000" w:rsidRPr="00000000" w14:paraId="000001B5">
            <w:pPr>
              <w:widowControl w:val="0"/>
              <w:spacing w:before="0" w:line="240"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Objetivo</w:t>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6">
            <w:pPr>
              <w:widowControl w:val="0"/>
              <w:spacing w:before="0" w:line="204"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 nº 13/2023</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7">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AGU-PRU4</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B8">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Reduzir a litigiosidade e racionalizar os processos relativos à responsabilidade subsidiária da União em casos de inadimplemento trabalhista na terceirização de serviços.</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9">
            <w:pPr>
              <w:widowControl w:val="0"/>
              <w:spacing w:before="0" w:line="204"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 nº 67/2024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BA">
            <w:pPr>
              <w:widowControl w:val="0"/>
              <w:spacing w:before="0" w:line="204" w:lineRule="auto"/>
              <w:ind w:left="0"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 Petrobrás</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BB">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Reduzir a litigiosidade, racionalizar os processos e adotar uma rotina conciliatória.</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C">
            <w:pPr>
              <w:widowControl w:val="0"/>
              <w:spacing w:before="0" w:line="204"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 nº 63/2025</w:t>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BD">
            <w:pPr>
              <w:widowControl w:val="0"/>
              <w:spacing w:before="0" w:line="204" w:lineRule="auto"/>
              <w:ind w:left="0" w:firstLine="0"/>
              <w:jc w:val="center"/>
              <w:rPr>
                <w:rFonts w:ascii="Arial" w:cs="Arial" w:eastAsia="Arial" w:hAnsi="Arial"/>
              </w:rPr>
            </w:pPr>
            <w:r w:rsidDel="00000000" w:rsidR="00000000" w:rsidRPr="00000000">
              <w:rPr>
                <w:rFonts w:ascii="Arial" w:cs="Arial" w:eastAsia="Arial" w:hAnsi="Arial"/>
                <w:color w:val="000000"/>
                <w:rtl w:val="0"/>
              </w:rPr>
              <w:t xml:space="preserve"> Banco Santander</w:t>
            </w:r>
            <w:r w:rsidDel="00000000" w:rsidR="00000000" w:rsidRPr="00000000">
              <w:rPr>
                <w:rtl w:val="0"/>
              </w:rPr>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BE">
            <w:pPr>
              <w:widowControl w:val="0"/>
              <w:spacing w:before="0" w:line="204" w:lineRule="auto"/>
              <w:ind w:left="0" w:firstLine="0"/>
              <w:jc w:val="both"/>
              <w:rPr>
                <w:rFonts w:ascii="Arial" w:cs="Arial" w:eastAsia="Arial" w:hAnsi="Arial"/>
              </w:rPr>
            </w:pPr>
            <w:r w:rsidDel="00000000" w:rsidR="00000000" w:rsidRPr="00000000">
              <w:rPr>
                <w:rFonts w:ascii="Arial" w:cs="Arial" w:eastAsia="Arial" w:hAnsi="Arial"/>
                <w:color w:val="000000"/>
                <w:rtl w:val="0"/>
              </w:rPr>
              <w:t xml:space="preserve">Promover a redução da litigiosidade.</w:t>
            </w:r>
            <w:r w:rsidDel="00000000" w:rsidR="00000000" w:rsidRPr="00000000">
              <w:rPr>
                <w:rtl w:val="0"/>
              </w:rPr>
            </w:r>
          </w:p>
        </w:tc>
      </w:tr>
      <w:tr>
        <w:trPr>
          <w:cantSplit w:val="0"/>
          <w:tblHeader w:val="0"/>
        </w:trPr>
        <w:tc>
          <w:tcPr>
            <w:tcBorders>
              <w:top w:color="bdc1c6" w:space="0" w:sz="8" w:val="single"/>
              <w:left w:color="000000" w:space="0" w:sz="0" w:val="nil"/>
              <w:bottom w:color="bdc1c6" w:space="0" w:sz="8" w:val="single"/>
              <w:right w:color="bdc1c6" w:space="0" w:sz="8" w:val="single"/>
            </w:tcBorders>
            <w:shd w:fill="02324f" w:val="clear"/>
            <w:tcMar>
              <w:top w:w="100.0" w:type="dxa"/>
              <w:left w:w="100.0" w:type="dxa"/>
              <w:bottom w:w="100.0" w:type="dxa"/>
              <w:right w:w="100.0" w:type="dxa"/>
            </w:tcMar>
            <w:vAlign w:val="center"/>
          </w:tcPr>
          <w:p w:rsidR="00000000" w:rsidDel="00000000" w:rsidP="00000000" w:rsidRDefault="00000000" w:rsidRPr="00000000" w14:paraId="000001BF">
            <w:pPr>
              <w:widowControl w:val="0"/>
              <w:spacing w:before="0" w:line="204" w:lineRule="auto"/>
              <w:ind w:left="0" w:firstLine="0"/>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Termo de Cooperação Interinstitucional</w:t>
            </w:r>
          </w:p>
          <w:p w:rsidR="00000000" w:rsidDel="00000000" w:rsidP="00000000" w:rsidRDefault="00000000" w:rsidRPr="00000000" w14:paraId="000001C0">
            <w:pPr>
              <w:widowControl w:val="0"/>
              <w:spacing w:before="0" w:line="204" w:lineRule="auto"/>
              <w:ind w:left="0" w:firstLine="0"/>
              <w:jc w:val="center"/>
              <w:rPr>
                <w:rFonts w:ascii="Arial" w:cs="Arial" w:eastAsia="Arial" w:hAnsi="Arial"/>
                <w:b w:val="1"/>
                <w:bCs w:val="1"/>
                <w:color w:val="ffffff"/>
              </w:rPr>
            </w:pPr>
            <w:r w:rsidDel="00000000" w:rsidR="00000000" w:rsidRPr="00000000">
              <w:rPr>
                <w:rtl w:val="0"/>
              </w:rPr>
            </w:r>
          </w:p>
        </w:tc>
        <w:tc>
          <w:tcPr>
            <w:tcBorders>
              <w:top w:color="bdc1c6" w:space="0" w:sz="8" w:val="single"/>
              <w:left w:color="000000" w:space="0" w:sz="0" w:val="nil"/>
              <w:bottom w:color="bdc1c6" w:space="0" w:sz="8" w:val="single"/>
              <w:right w:color="bdc1c6"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1C1">
            <w:pPr>
              <w:widowControl w:val="0"/>
              <w:spacing w:before="0" w:line="204" w:lineRule="auto"/>
              <w:ind w:left="0" w:firstLine="0"/>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TST</w:t>
            </w:r>
          </w:p>
        </w:tc>
        <w:tc>
          <w:tcPr>
            <w:tcBorders>
              <w:top w:color="bdc1c6" w:space="0" w:sz="8" w:val="single"/>
              <w:left w:color="bdc1c6" w:space="0" w:sz="8" w:val="single"/>
              <w:bottom w:color="bdc1c6" w:space="0" w:sz="8"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1C2">
            <w:pPr>
              <w:widowControl w:val="0"/>
              <w:spacing w:before="0" w:line="204" w:lineRule="auto"/>
              <w:ind w:left="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Participação no Projeto Conexão CEJUSC, mediante a cessão de um servidor(a) de conciliação para atuação concentrada e exclusiva no Centro Judiciário de Métodos Consensuais de Solução de Conflitos do TST (CEJUSC/TST).</w:t>
            </w:r>
          </w:p>
        </w:tc>
      </w:tr>
    </w:tbl>
    <w:p w:rsidR="00000000" w:rsidDel="00000000" w:rsidP="00000000" w:rsidRDefault="00000000" w:rsidRPr="00000000" w14:paraId="000001C3">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C4">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Assegurar o tratamento adequado dos conflitos trabalhistas.</w:t>
      </w:r>
    </w:p>
    <w:p w:rsidR="00000000" w:rsidDel="00000000" w:rsidP="00000000" w:rsidRDefault="00000000" w:rsidRPr="00000000" w14:paraId="000001C5">
      <w:pPr>
        <w:spacing w:after="200" w:before="60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219075</wp:posOffset>
            </wp:positionH>
            <wp:positionV relativeFrom="paragraph">
              <wp:posOffset>217875</wp:posOffset>
            </wp:positionV>
            <wp:extent cx="5514375" cy="800100"/>
            <wp:effectExtent b="0" l="0" r="0" t="0"/>
            <wp:wrapNone/>
            <wp:docPr id="9" name="image18.png"/>
            <a:graphic>
              <a:graphicData uri="http://schemas.openxmlformats.org/drawingml/2006/picture">
                <pic:pic>
                  <pic:nvPicPr>
                    <pic:cNvPr id="0" name="image18.png"/>
                    <pic:cNvPicPr preferRelativeResize="0"/>
                  </pic:nvPicPr>
                  <pic:blipFill>
                    <a:blip r:embed="rId27"/>
                    <a:srcRect b="0" l="0" r="0" t="0"/>
                    <a:stretch>
                      <a:fillRect/>
                    </a:stretch>
                  </pic:blipFill>
                  <pic:spPr>
                    <a:xfrm>
                      <a:off x="0" y="0"/>
                      <a:ext cx="5514375" cy="800100"/>
                    </a:xfrm>
                    <a:prstGeom prst="rect"/>
                    <a:ln/>
                  </pic:spPr>
                </pic:pic>
              </a:graphicData>
            </a:graphic>
          </wp:anchor>
        </w:drawing>
      </w:r>
    </w:p>
    <w:p w:rsidR="00000000" w:rsidDel="00000000" w:rsidP="00000000" w:rsidRDefault="00000000" w:rsidRPr="00000000" w14:paraId="000001C6">
      <w:pPr>
        <w:spacing w:after="200" w:before="600" w:line="288" w:lineRule="auto"/>
        <w:ind w:left="0" w:right="4.13385826771730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C7">
      <w:pPr>
        <w:spacing w:after="200" w:before="600" w:line="288" w:lineRule="auto"/>
        <w:ind w:left="0" w:right="4.133858267717301" w:firstLine="0"/>
        <w:jc w:val="both"/>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PROMOVER OS DIREITOS DA CRIANÇA E DO ADOLESCENTE: </w:t>
      </w:r>
    </w:p>
    <w:p w:rsidR="00000000" w:rsidDel="00000000" w:rsidP="00000000" w:rsidRDefault="00000000" w:rsidRPr="00000000" w14:paraId="000001C8">
      <w:pPr>
        <w:numPr>
          <w:ilvl w:val="0"/>
          <w:numId w:val="6"/>
        </w:numPr>
        <w:spacing w:after="200" w:before="400" w:line="288" w:lineRule="auto"/>
        <w:ind w:left="720" w:right="-14.330708661418612"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no âmbito do Programa de Combate ao Trabalho Infantil e Estímulo à Aprendizagem, pelo menos uma ação atinente ao programa, por meio do estabelecimento de parcerias interinstitucionais. </w:t>
      </w:r>
    </w:p>
    <w:p w:rsidR="00000000" w:rsidDel="00000000" w:rsidP="00000000" w:rsidRDefault="00000000" w:rsidRPr="00000000" w14:paraId="000001C9">
      <w:pPr>
        <w:spacing w:after="200" w:line="240" w:lineRule="auto"/>
        <w:ind w:left="0" w:firstLine="0"/>
        <w:rPr>
          <w:rFonts w:ascii="Arial" w:cs="Arial" w:eastAsia="Arial" w:hAnsi="Arial"/>
          <w:b w:val="1"/>
          <w:bCs w:val="1"/>
          <w:color w:val="013250"/>
          <w:sz w:val="24"/>
          <w:szCs w:val="24"/>
        </w:rPr>
      </w:pPr>
      <w:r w:rsidDel="00000000" w:rsidR="00000000" w:rsidRPr="00000000">
        <w:rPr>
          <w:rtl w:val="0"/>
        </w:rPr>
      </w:r>
    </w:p>
    <w:p w:rsidR="00000000" w:rsidDel="00000000" w:rsidP="00000000" w:rsidRDefault="00000000" w:rsidRPr="00000000" w14:paraId="000001CA">
      <w:pPr>
        <w:spacing w:after="200" w:line="240" w:lineRule="auto"/>
        <w:ind w:left="0" w:firstLine="0"/>
        <w:rPr>
          <w:rFonts w:ascii="Arial" w:cs="Arial" w:eastAsia="Arial" w:hAnsi="Arial"/>
          <w:b w:val="1"/>
          <w:bCs w:val="1"/>
          <w:color w:val="013250"/>
          <w:sz w:val="24"/>
          <w:szCs w:val="24"/>
        </w:rPr>
      </w:pPr>
      <w:r w:rsidDel="00000000" w:rsidR="00000000" w:rsidRPr="00000000">
        <w:rPr>
          <w:rFonts w:ascii="Arial" w:cs="Arial" w:eastAsia="Arial" w:hAnsi="Arial"/>
          <w:b w:val="1"/>
          <w:bCs w:val="1"/>
          <w:color w:val="013250"/>
          <w:sz w:val="24"/>
          <w:szCs w:val="24"/>
          <w:rtl w:val="0"/>
        </w:rPr>
        <w:t xml:space="preserve">OBJETIVO ESTRATÉGICO:</w:t>
      </w:r>
    </w:p>
    <w:p w:rsidR="00000000" w:rsidDel="00000000" w:rsidP="00000000" w:rsidRDefault="00000000" w:rsidRPr="00000000" w14:paraId="000001CB">
      <w:pPr>
        <w:numPr>
          <w:ilvl w:val="0"/>
          <w:numId w:val="6"/>
        </w:numPr>
        <w:spacing w:before="0" w:line="240" w:lineRule="auto"/>
        <w:ind w:left="720" w:right="4.133858267717301" w:hanging="36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Promover o trabalho decente e a sustentabilidade.</w:t>
      </w:r>
    </w:p>
    <w:p w:rsidR="00000000" w:rsidDel="00000000" w:rsidP="00000000" w:rsidRDefault="00000000" w:rsidRPr="00000000" w14:paraId="000001CC">
      <w:pPr>
        <w:spacing w:after="200" w:before="600" w:line="335.99999999999994" w:lineRule="auto"/>
        <w:ind w:left="0" w:firstLine="0"/>
        <w:rPr>
          <w:rFonts w:ascii="Arial" w:cs="Arial" w:eastAsia="Arial" w:hAnsi="Arial"/>
          <w:b w:val="1"/>
          <w:bCs w:val="1"/>
          <w:color w:val="02324f"/>
          <w:sz w:val="24"/>
          <w:szCs w:val="24"/>
        </w:rPr>
      </w:pPr>
      <w:r w:rsidDel="00000000" w:rsidR="00000000" w:rsidRPr="00000000">
        <w:rPr>
          <w:rFonts w:ascii="Arial" w:cs="Arial" w:eastAsia="Arial" w:hAnsi="Arial"/>
          <w:b w:val="1"/>
          <w:bCs w:val="1"/>
          <w:color w:val="02324f"/>
          <w:sz w:val="24"/>
          <w:szCs w:val="24"/>
          <w:rtl w:val="0"/>
        </w:rPr>
        <w:t xml:space="preserve">RESULTADO TRT-RS:</w:t>
      </w:r>
    </w:p>
    <w:p w:rsidR="00000000" w:rsidDel="00000000" w:rsidP="00000000" w:rsidRDefault="00000000" w:rsidRPr="00000000" w14:paraId="000001CD">
      <w:pPr>
        <w:spacing w:after="60" w:before="60" w:line="276" w:lineRule="auto"/>
        <w:ind w:left="1275.5905511811022" w:hanging="566.9291338582675"/>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Há duas iniciativas: </w:t>
      </w:r>
    </w:p>
    <w:p w:rsidR="00000000" w:rsidDel="00000000" w:rsidP="00000000" w:rsidRDefault="00000000" w:rsidRPr="00000000" w14:paraId="000001CE">
      <w:pPr>
        <w:numPr>
          <w:ilvl w:val="0"/>
          <w:numId w:val="7"/>
        </w:numPr>
        <w:spacing w:after="60" w:before="60" w:line="276" w:lineRule="auto"/>
        <w:ind w:left="992.1259842519685" w:hanging="360"/>
        <w:jc w:val="both"/>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"Geração Consciente - Semana Contra o Trabalho Infantil"</w:t>
      </w:r>
      <w:r w:rsidDel="00000000" w:rsidR="00000000" w:rsidRPr="00000000">
        <w:rPr>
          <w:rFonts w:ascii="Arial" w:cs="Arial" w:eastAsia="Arial" w:hAnsi="Arial"/>
          <w:color w:val="000000"/>
          <w:sz w:val="24"/>
          <w:szCs w:val="24"/>
          <w:rtl w:val="0"/>
        </w:rPr>
        <w:t xml:space="preserve"> - integralmente cumprida, conforme demonstram as publicações:</w:t>
      </w:r>
    </w:p>
    <w:p w:rsidR="00000000" w:rsidDel="00000000" w:rsidP="00000000" w:rsidRDefault="00000000" w:rsidRPr="00000000" w14:paraId="000001CF">
      <w:pPr>
        <w:numPr>
          <w:ilvl w:val="0"/>
          <w:numId w:val="2"/>
        </w:numPr>
        <w:spacing w:after="0" w:afterAutospacing="0" w:before="60" w:line="276" w:lineRule="auto"/>
        <w:ind w:left="1700.787401574803" w:hanging="360"/>
        <w:jc w:val="both"/>
        <w:rPr>
          <w:rFonts w:ascii="Arial" w:cs="Arial" w:eastAsia="Arial" w:hAnsi="Arial"/>
          <w:color w:val="000000"/>
          <w:sz w:val="24"/>
          <w:szCs w:val="24"/>
        </w:rPr>
      </w:pPr>
      <w:hyperlink r:id="rId28">
        <w:r w:rsidDel="00000000" w:rsidR="00000000" w:rsidRPr="00000000">
          <w:rPr>
            <w:rFonts w:ascii="Arial" w:cs="Arial" w:eastAsia="Arial" w:hAnsi="Arial"/>
            <w:color w:val="1155cc"/>
            <w:sz w:val="24"/>
            <w:szCs w:val="24"/>
            <w:u w:val="single"/>
            <w:rtl w:val="0"/>
          </w:rPr>
          <w:t xml:space="preserve">O Futuro é Jovem: alunos da rede pública federal participam de quiz no TRT-RS</w:t>
        </w:r>
      </w:hyperlink>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1D0">
      <w:pPr>
        <w:numPr>
          <w:ilvl w:val="0"/>
          <w:numId w:val="2"/>
        </w:numPr>
        <w:spacing w:after="60" w:before="0" w:beforeAutospacing="0" w:line="276" w:lineRule="auto"/>
        <w:ind w:left="1700.787401574803" w:hanging="360"/>
        <w:jc w:val="both"/>
        <w:rPr>
          <w:rFonts w:ascii="Arial" w:cs="Arial" w:eastAsia="Arial" w:hAnsi="Arial"/>
          <w:color w:val="000000"/>
          <w:sz w:val="24"/>
          <w:szCs w:val="24"/>
        </w:rPr>
      </w:pPr>
      <w:hyperlink r:id="rId29">
        <w:r w:rsidDel="00000000" w:rsidR="00000000" w:rsidRPr="00000000">
          <w:rPr>
            <w:rFonts w:ascii="Arial" w:cs="Arial" w:eastAsia="Arial" w:hAnsi="Arial"/>
            <w:color w:val="1155cc"/>
            <w:sz w:val="24"/>
            <w:szCs w:val="24"/>
            <w:u w:val="single"/>
            <w:rtl w:val="0"/>
          </w:rPr>
          <w:t xml:space="preserve">Livros que abrem mundos: TRT-RS leva bibliotecas de Direitos Humanos a quatro escolas de Porto Alegre</w:t>
        </w:r>
      </w:hyperlink>
      <w:r w:rsidDel="00000000" w:rsidR="00000000" w:rsidRPr="00000000">
        <w:rPr>
          <w:rFonts w:ascii="Arial" w:cs="Arial" w:eastAsia="Arial" w:hAnsi="Arial"/>
          <w:color w:val="000000"/>
          <w:sz w:val="24"/>
          <w:szCs w:val="24"/>
          <w:rtl w:val="0"/>
        </w:rPr>
        <w:t xml:space="preserve">.</w:t>
      </w:r>
      <w:r w:rsidDel="00000000" w:rsidR="00000000" w:rsidRPr="00000000">
        <w:rPr>
          <w:rtl w:val="0"/>
        </w:rPr>
      </w:r>
    </w:p>
    <w:p w:rsidR="00000000" w:rsidDel="00000000" w:rsidP="00000000" w:rsidRDefault="00000000" w:rsidRPr="00000000" w14:paraId="000001D1">
      <w:pPr>
        <w:numPr>
          <w:ilvl w:val="0"/>
          <w:numId w:val="7"/>
        </w:numPr>
        <w:spacing w:after="200" w:before="60" w:line="276" w:lineRule="auto"/>
        <w:ind w:left="992.1259842519685" w:hanging="360"/>
        <w:jc w:val="both"/>
        <w:rPr>
          <w:rFonts w:ascii="Arial" w:cs="Arial" w:eastAsia="Arial" w:hAnsi="Arial"/>
          <w:color w:val="000000"/>
          <w:sz w:val="24"/>
          <w:szCs w:val="24"/>
        </w:rPr>
      </w:pPr>
      <w:r w:rsidDel="00000000" w:rsidR="00000000" w:rsidRPr="00000000">
        <w:rPr>
          <w:rFonts w:ascii="Arial" w:cs="Arial" w:eastAsia="Arial" w:hAnsi="Arial"/>
          <w:b w:val="1"/>
          <w:bCs w:val="1"/>
          <w:i w:val="1"/>
          <w:iCs w:val="1"/>
          <w:color w:val="000000"/>
          <w:sz w:val="24"/>
          <w:szCs w:val="24"/>
          <w:rtl w:val="0"/>
        </w:rPr>
        <w:t xml:space="preserve">"Feirão de Aprendizagem"</w:t>
      </w:r>
      <w:r w:rsidDel="00000000" w:rsidR="00000000" w:rsidRPr="00000000">
        <w:rPr>
          <w:rFonts w:ascii="Arial" w:cs="Arial" w:eastAsia="Arial" w:hAnsi="Arial"/>
          <w:b w:val="1"/>
          <w:bCs w:val="1"/>
          <w:color w:val="000000"/>
          <w:sz w:val="24"/>
          <w:szCs w:val="24"/>
          <w:rtl w:val="0"/>
        </w:rPr>
        <w:t xml:space="preserve"> </w:t>
      </w:r>
      <w:r w:rsidDel="00000000" w:rsidR="00000000" w:rsidRPr="00000000">
        <w:rPr>
          <w:rFonts w:ascii="Arial" w:cs="Arial" w:eastAsia="Arial" w:hAnsi="Arial"/>
          <w:color w:val="000000"/>
          <w:sz w:val="24"/>
          <w:szCs w:val="24"/>
          <w:rtl w:val="0"/>
        </w:rPr>
        <w:t xml:space="preserve">- encontra-se em fase de planejamento, com realização prevista para o dia 12/11/2026.</w:t>
      </w:r>
    </w:p>
    <w:p w:rsidR="00000000" w:rsidDel="00000000" w:rsidP="00000000" w:rsidRDefault="00000000" w:rsidRPr="00000000" w14:paraId="000001D2">
      <w:pPr>
        <w:spacing w:after="60" w:before="0" w:line="288" w:lineRule="auto"/>
        <w:ind w:left="720" w:right="191" w:firstLine="0"/>
        <w:jc w:val="both"/>
        <w:rPr>
          <w:rFonts w:ascii="Arial" w:cs="Arial" w:eastAsia="Arial" w:hAnsi="Arial"/>
          <w:b w:val="1"/>
          <w:bCs w:val="1"/>
          <w:color w:val="02324f"/>
          <w:sz w:val="24"/>
          <w:szCs w:val="24"/>
          <w:highlight w:val="yellow"/>
        </w:rPr>
      </w:pPr>
      <w:r w:rsidDel="00000000" w:rsidR="00000000" w:rsidRPr="00000000">
        <w:rPr>
          <w:rtl w:val="0"/>
        </w:rPr>
      </w:r>
    </w:p>
    <w:p w:rsidR="00000000" w:rsidDel="00000000" w:rsidP="00000000" w:rsidRDefault="00000000" w:rsidRPr="00000000" w14:paraId="000001D3">
      <w:pPr>
        <w:spacing w:before="0" w:line="240" w:lineRule="auto"/>
        <w:ind w:left="0" w:right="-14.330708661418612" w:firstLine="0"/>
        <w:jc w:val="both"/>
        <w:rPr>
          <w:rFonts w:ascii="Arial" w:cs="Arial" w:eastAsia="Arial" w:hAnsi="Arial"/>
          <w:color w:val="000000"/>
          <w:sz w:val="24"/>
          <w:szCs w:val="24"/>
          <w:highlight w:val="yellow"/>
        </w:rPr>
      </w:pPr>
      <w:r w:rsidDel="00000000" w:rsidR="00000000" w:rsidRPr="00000000">
        <w:rPr>
          <w:rtl w:val="0"/>
        </w:rPr>
      </w:r>
    </w:p>
    <w:sectPr>
      <w:headerReference r:id="rId30" w:type="default"/>
      <w:headerReference r:id="rId31" w:type="first"/>
      <w:footerReference r:id="rId32" w:type="default"/>
      <w:footerReference r:id="rId33" w:type="first"/>
      <w:pgSz w:h="16838" w:w="11906" w:orient="portrait"/>
      <w:pgMar w:bottom="566.9291338582677" w:top="566.9291338582677" w:left="1417.3228346456694" w:right="1429.1338582677172" w:header="566.9291338582677"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Impact"/>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m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line="240" w:lineRule="auto"/>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-923920</wp:posOffset>
          </wp:positionH>
          <wp:positionV relativeFrom="paragraph">
            <wp:posOffset>102823</wp:posOffset>
          </wp:positionV>
          <wp:extent cx="7791450" cy="804863"/>
          <wp:effectExtent b="0" l="0" r="0" t="0"/>
          <wp:wrapNone/>
          <wp:docPr descr="Gráfico do rodapé" id="16" name="image2.png"/>
          <a:graphic>
            <a:graphicData uri="http://schemas.openxmlformats.org/drawingml/2006/picture">
              <pic:pic>
                <pic:nvPicPr>
                  <pic:cNvPr descr="Gráfico do rodapé" id="0" name="image2.png"/>
                  <pic:cNvPicPr preferRelativeResize="0"/>
                </pic:nvPicPr>
                <pic:blipFill>
                  <a:blip r:embed="rId1"/>
                  <a:srcRect b="0" l="0" r="0" t="0"/>
                  <a:stretch>
                    <a:fillRect/>
                  </a:stretch>
                </pic:blipFill>
                <pic:spPr>
                  <a:xfrm>
                    <a:off x="0" y="0"/>
                    <a:ext cx="7791450" cy="804863"/>
                  </a:xfrm>
                  <a:prstGeom prst="rect"/>
                  <a:ln/>
                </pic:spPr>
              </pic:pic>
            </a:graphicData>
          </a:graphic>
        </wp:anchor>
      </w:drawing>
    </w:r>
  </w:p>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line="240" w:lineRule="auto"/>
      <w:jc w:val="right"/>
      <w:rPr>
        <w:rFonts w:ascii="Arial" w:cs="Arial" w:eastAsia="Arial" w:hAnsi="Arial"/>
        <w:b w:val="1"/>
        <w:bCs w:val="1"/>
        <w:color w:val="017f53"/>
        <w:sz w:val="24"/>
        <w:szCs w:val="24"/>
        <w:highlight w:val="yellow"/>
      </w:rPr>
    </w:pPr>
    <w:r w:rsidDel="00000000" w:rsidR="00000000" w:rsidRPr="00000000">
      <w:rPr>
        <w:color w:val="f3f3f3"/>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line="240" w:lineRule="auto"/>
      <w:jc w:val="right"/>
      <w:rPr>
        <w:rFonts w:ascii="Arial" w:cs="Arial" w:eastAsia="Arial" w:hAnsi="Arial"/>
        <w:b w:val="1"/>
        <w:bCs w:val="1"/>
        <w:color w:val="017f53"/>
        <w:sz w:val="24"/>
        <w:szCs w:val="24"/>
        <w:highlight w:val="yellow"/>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line="240" w:lineRule="auto"/>
      <w:ind w:left="-15" w:firstLine="0"/>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spacing w:before="0" w:line="240" w:lineRule="auto"/>
      <w:rPr>
        <w:color w:val="e01b84"/>
        <w:sz w:val="18"/>
        <w:szCs w:val="18"/>
      </w:rPr>
    </w:pPr>
    <w:r w:rsidDel="00000000" w:rsidR="00000000" w:rsidRPr="00000000">
      <w:rPr>
        <w:color w:val="e01b84"/>
        <w:sz w:val="18"/>
        <w:szCs w:val="18"/>
      </w:rPr>
      <w:drawing>
        <wp:anchor allowOverlap="1" behindDoc="0" distB="114300" distT="114300" distL="114300" distR="114300" hidden="0" layoutInCell="1" locked="0" relativeHeight="0" simplePos="0">
          <wp:simplePos x="0" y="0"/>
          <wp:positionH relativeFrom="page">
            <wp:posOffset>6118222</wp:posOffset>
          </wp:positionH>
          <wp:positionV relativeFrom="page">
            <wp:posOffset>19050</wp:posOffset>
          </wp:positionV>
          <wp:extent cx="1495425" cy="533400"/>
          <wp:effectExtent b="0" l="0" r="0" t="0"/>
          <wp:wrapSquare wrapText="bothSides" distB="114300" distT="114300" distL="114300" distR="11430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95425" cy="5334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spacing w:before="0" w:line="276" w:lineRule="auto"/>
      <w:jc w:val="center"/>
      <w:rPr>
        <w:rFonts w:ascii="Arial" w:cs="Arial" w:eastAsia="Arial" w:hAnsi="Arial"/>
        <w:b w:val="1"/>
        <w:bCs w:val="1"/>
        <w:color w:val="d9d9d9"/>
      </w:rPr>
    </w:pPr>
    <w:r w:rsidDel="00000000" w:rsidR="00000000" w:rsidRPr="00000000">
      <w:rPr>
        <w:rFonts w:ascii="Arial" w:cs="Arial" w:eastAsia="Arial" w:hAnsi="Arial"/>
        <w:b w:val="1"/>
        <w:bCs w:val="1"/>
        <w:color w:val="d9d9d9"/>
        <w:rtl w:val="0"/>
      </w:rPr>
      <w:t xml:space="preserve">Tribunal Regional do Trabalho da 4ª Região</w:t>
    </w:r>
  </w:p>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spacing w:before="0" w:line="276" w:lineRule="auto"/>
      <w:jc w:val="center"/>
      <w:rPr>
        <w:rFonts w:ascii="Arial" w:cs="Arial" w:eastAsia="Arial" w:hAnsi="Arial"/>
        <w:b w:val="1"/>
        <w:bCs w:val="1"/>
        <w:color w:val="d9d9d9"/>
      </w:rPr>
    </w:pPr>
    <w:r w:rsidDel="00000000" w:rsidR="00000000" w:rsidRPr="00000000">
      <w:rPr>
        <w:rFonts w:ascii="Arial" w:cs="Arial" w:eastAsia="Arial" w:hAnsi="Arial"/>
        <w:b w:val="1"/>
        <w:bCs w:val="1"/>
        <w:color w:val="d9d9d9"/>
        <w:rtl w:val="0"/>
      </w:rPr>
      <w:t xml:space="preserve">Secretaria de Governança e Gestão Estratégica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666666"/>
        <w:sz w:val="22"/>
        <w:szCs w:val="22"/>
        <w:lang w:val="pt_BR"/>
      </w:rPr>
    </w:rPrDefault>
    <w:pPrDefault>
      <w:pPr>
        <w:spacing w:before="200" w:line="335.99999999999994"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240" w:lineRule="auto"/>
    </w:pPr>
    <w:rPr>
      <w:color w:val="000000"/>
      <w:sz w:val="32"/>
      <w:szCs w:val="32"/>
    </w:rPr>
  </w:style>
  <w:style w:type="paragraph" w:styleId="Heading2">
    <w:name w:val="heading 2"/>
    <w:basedOn w:val="Normal"/>
    <w:next w:val="Normal"/>
    <w:pPr>
      <w:pageBreakBefore w:val="0"/>
      <w:spacing w:before="320" w:line="240" w:lineRule="auto"/>
      <w:ind w:left="720" w:hanging="360"/>
    </w:pPr>
    <w:rPr>
      <w:color w:val="000000"/>
      <w:sz w:val="24"/>
      <w:szCs w:val="24"/>
    </w:rPr>
  </w:style>
  <w:style w:type="paragraph" w:styleId="Heading3">
    <w:name w:val="heading 3"/>
    <w:basedOn w:val="Normal"/>
    <w:next w:val="Normal"/>
    <w:pPr>
      <w:pageBreakBefore w:val="0"/>
      <w:spacing w:line="240" w:lineRule="auto"/>
    </w:pPr>
    <w:rPr>
      <w:b w:val="1"/>
      <w:bCs w:val="1"/>
      <w:color w:val="e01b84"/>
      <w:sz w:val="24"/>
      <w:szCs w:val="24"/>
    </w:rPr>
  </w:style>
  <w:style w:type="paragraph" w:styleId="Heading4">
    <w:name w:val="heading 4"/>
    <w:basedOn w:val="Normal"/>
    <w:next w:val="Normal"/>
    <w:pPr>
      <w:keepNext w:val="1"/>
      <w:keepLines w:val="1"/>
      <w:pageBreakBefore w:val="0"/>
      <w:spacing w:before="0" w:lineRule="auto"/>
    </w:pPr>
    <w:rPr>
      <w:b w:val="1"/>
      <w:bCs w:val="1"/>
      <w:color w:val="6d64e8"/>
      <w:sz w:val="40"/>
      <w:szCs w:val="4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after="0" w:before="400" w:line="240" w:lineRule="auto"/>
    </w:pPr>
    <w:rPr>
      <w:color w:val="283592"/>
      <w:sz w:val="68"/>
      <w:szCs w:val="68"/>
    </w:rPr>
  </w:style>
  <w:style w:type="paragraph" w:styleId="Subtitle">
    <w:name w:val="Subtitle"/>
    <w:basedOn w:val="Normal"/>
    <w:next w:val="Normal"/>
    <w:pPr>
      <w:pageBreakBefore w:val="0"/>
    </w:pPr>
    <w:rPr>
      <w:color w:val="e01b8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2" Type="http://schemas.openxmlformats.org/officeDocument/2006/relationships/hyperlink" Target="https://atos.cnj.jus.br/atos/detalhar/1405" TargetMode="External"/><Relationship Id="rId21" Type="http://schemas.openxmlformats.org/officeDocument/2006/relationships/image" Target="media/image6.png"/><Relationship Id="rId24" Type="http://schemas.openxmlformats.org/officeDocument/2006/relationships/image" Target="media/image13.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hyperlink" Target="https://atos.cnj.jus.br/atos/detalhar/3556" TargetMode="External"/><Relationship Id="rId25" Type="http://schemas.openxmlformats.org/officeDocument/2006/relationships/image" Target="media/image4.png"/><Relationship Id="rId28" Type="http://schemas.openxmlformats.org/officeDocument/2006/relationships/hyperlink" Target="https://www.trt4.jus.br/portais/trt4/modulos/noticias/51019831" TargetMode="External"/><Relationship Id="rId27" Type="http://schemas.openxmlformats.org/officeDocument/2006/relationships/image" Target="media/image18.png"/><Relationship Id="rId5" Type="http://schemas.openxmlformats.org/officeDocument/2006/relationships/styles" Target="styles.xml"/><Relationship Id="rId6" Type="http://schemas.openxmlformats.org/officeDocument/2006/relationships/image" Target="media/image19.jpg"/><Relationship Id="rId29" Type="http://schemas.openxmlformats.org/officeDocument/2006/relationships/hyperlink" Target="https://www.trt4.jus.br/portais/trt4/modulos/noticias/50999832" TargetMode="External"/><Relationship Id="rId7" Type="http://schemas.openxmlformats.org/officeDocument/2006/relationships/hyperlink" Target="https://app.powerbi.com/view?r=eyJrIjoiZThlNGEyYTUtNGI5MS00Y2NkLWFiZmYtMjNjNmNlYzdiZTI4IiwidCI6ImNjZDk5MTdlLWNiNDctNDJhNS1hMjYyLWUyMjcyZGNlZjZhYiJ9" TargetMode="External"/><Relationship Id="rId8" Type="http://schemas.openxmlformats.org/officeDocument/2006/relationships/image" Target="media/image10.png"/><Relationship Id="rId31" Type="http://schemas.openxmlformats.org/officeDocument/2006/relationships/header" Target="header2.xml"/><Relationship Id="rId30" Type="http://schemas.openxmlformats.org/officeDocument/2006/relationships/header" Target="header1.xml"/><Relationship Id="rId11" Type="http://schemas.openxmlformats.org/officeDocument/2006/relationships/image" Target="media/image3.png"/><Relationship Id="rId33" Type="http://schemas.openxmlformats.org/officeDocument/2006/relationships/footer" Target="footer2.xml"/><Relationship Id="rId10" Type="http://schemas.openxmlformats.org/officeDocument/2006/relationships/image" Target="media/image17.png"/><Relationship Id="rId32" Type="http://schemas.openxmlformats.org/officeDocument/2006/relationships/footer" Target="footer1.xml"/><Relationship Id="rId13" Type="http://schemas.openxmlformats.org/officeDocument/2006/relationships/image" Target="media/image7.png"/><Relationship Id="rId12" Type="http://schemas.openxmlformats.org/officeDocument/2006/relationships/image" Target="media/image14.png"/><Relationship Id="rId15" Type="http://schemas.openxmlformats.org/officeDocument/2006/relationships/image" Target="media/image9.png"/><Relationship Id="rId14" Type="http://schemas.openxmlformats.org/officeDocument/2006/relationships/image" Target="media/image5.png"/><Relationship Id="rId17" Type="http://schemas.openxmlformats.org/officeDocument/2006/relationships/image" Target="media/image12.png"/><Relationship Id="rId16" Type="http://schemas.openxmlformats.org/officeDocument/2006/relationships/image" Target="media/image16.png"/><Relationship Id="rId19" Type="http://schemas.openxmlformats.org/officeDocument/2006/relationships/hyperlink" Target="https://renovajud.cnj.jus.br/conteudo-publico?iniciativa=1920" TargetMode="External"/><Relationship Id="rId18" Type="http://schemas.openxmlformats.org/officeDocument/2006/relationships/hyperlink" Target="https://renovajud.cnj.jus.br/conteudo-publico?iniciativa=19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Arimo-italic.ttf"/><Relationship Id="rId10" Type="http://schemas.openxmlformats.org/officeDocument/2006/relationships/font" Target="fonts/Arimo-bold.ttf"/><Relationship Id="rId12" Type="http://schemas.openxmlformats.org/officeDocument/2006/relationships/font" Target="fonts/Arimo-boldItalic.ttf"/><Relationship Id="rId9" Type="http://schemas.openxmlformats.org/officeDocument/2006/relationships/font" Target="fonts/Arimo-regular.ttf"/><Relationship Id="rId5" Type="http://schemas.openxmlformats.org/officeDocument/2006/relationships/font" Target="fonts/Nunito-regular.ttf"/><Relationship Id="rId6" Type="http://schemas.openxmlformats.org/officeDocument/2006/relationships/font" Target="fonts/Nunito-bold.ttf"/><Relationship Id="rId7" Type="http://schemas.openxmlformats.org/officeDocument/2006/relationships/font" Target="fonts/Nunito-italic.ttf"/><Relationship Id="rId8" Type="http://schemas.openxmlformats.org/officeDocument/2006/relationships/font" Target="fonts/Nun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