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9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ageBreakBefore w:val="false"/>
        <w:pBdr/>
        <w:shd w:val="clear" w:fill="auto"/>
        <w:spacing w:lineRule="auto" w:line="240" w:before="200" w:after="0"/>
        <w:ind w:left="720" w:hanging="0"/>
        <w:jc w:val="center"/>
        <w:rPr/>
      </w:pPr>
      <w:r>
        <w:rPr/>
        <w:drawing>
          <wp:anchor behindDoc="1" distT="0" distB="0" distL="0" distR="0" simplePos="0" locked="0" layoutInCell="1" allowOverlap="1" relativeHeight="44">
            <wp:simplePos x="0" y="0"/>
            <wp:positionH relativeFrom="margin">
              <wp:posOffset>-909955</wp:posOffset>
            </wp:positionH>
            <wp:positionV relativeFrom="margin">
              <wp:posOffset>-805180</wp:posOffset>
            </wp:positionV>
            <wp:extent cx="7520305" cy="10692130"/>
            <wp:effectExtent l="0" t="0" r="0" b="0"/>
            <wp:wrapNone/>
            <wp:docPr id="1" name="image19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9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2993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pageBreakBefore w:val="false"/>
        <w:pBdr/>
        <w:shd w:val="clear" w:fill="auto"/>
        <w:ind w:left="720" w:hanging="0"/>
        <w:rPr>
          <w:rFonts w:ascii="Impact" w:hAnsi="Impact" w:eastAsia="Impact" w:cs="Impact"/>
        </w:rPr>
      </w:pPr>
      <w:r>
        <w:rPr>
          <w:rFonts w:eastAsia="Impact" w:cs="Impact" w:ascii="Impact" w:hAnsi="Impact"/>
        </w:rPr>
      </w:r>
    </w:p>
    <w:p>
      <w:pPr>
        <w:pStyle w:val="Normal"/>
        <w:pageBreakBefore w:val="false"/>
        <w:pBdr/>
        <w:shd w:val="clear" w:fill="auto"/>
        <w:ind w:left="720" w:hanging="0"/>
        <w:rPr/>
      </w:pPr>
      <w:r>
        <w:rPr/>
      </w:r>
    </w:p>
    <w:p>
      <w:pPr>
        <w:pStyle w:val="Normal"/>
        <w:pageBreakBefore w:val="false"/>
        <w:pBdr/>
        <w:shd w:val="clear" w:fill="auto"/>
        <w:ind w:left="720" w:hanging="0"/>
        <w:rPr/>
      </w:pPr>
      <w:r>
        <w:rPr/>
      </w:r>
    </w:p>
    <w:p>
      <w:pPr>
        <w:pStyle w:val="Normal"/>
        <w:spacing w:lineRule="auto" w:line="240"/>
        <w:ind w:left="0" w:hanging="0"/>
        <w:jc w:val="center"/>
        <w:rPr>
          <w:rFonts w:ascii="Impact" w:hAnsi="Impact" w:eastAsia="Impact" w:cs="Impact"/>
          <w:color w:val="073763"/>
          <w:sz w:val="60"/>
          <w:szCs w:val="60"/>
        </w:rPr>
      </w:pPr>
      <w:r>
        <w:rPr>
          <w:rFonts w:eastAsia="Impact" w:cs="Impact" w:ascii="Impact" w:hAnsi="Impact"/>
          <w:color w:val="073763"/>
          <w:sz w:val="60"/>
          <w:szCs w:val="60"/>
        </w:rPr>
        <w:t xml:space="preserve">METAS NACIONAIS </w:t>
      </w:r>
    </w:p>
    <w:p>
      <w:pPr>
        <w:pStyle w:val="Normal"/>
        <w:spacing w:lineRule="auto" w:line="240"/>
        <w:ind w:left="0" w:hanging="0"/>
        <w:jc w:val="center"/>
        <w:rPr>
          <w:rFonts w:ascii="Impact" w:hAnsi="Impact" w:eastAsia="Impact" w:cs="Impact"/>
          <w:color w:val="073763"/>
          <w:sz w:val="60"/>
          <w:szCs w:val="60"/>
        </w:rPr>
      </w:pPr>
      <w:r>
        <w:rPr>
          <w:rFonts w:eastAsia="Impact" w:cs="Impact" w:ascii="Impact" w:hAnsi="Impact"/>
          <w:color w:val="073763"/>
          <w:sz w:val="60"/>
          <w:szCs w:val="60"/>
        </w:rPr>
        <w:t>do Poder Judiciário e</w:t>
      </w:r>
    </w:p>
    <w:p>
      <w:pPr>
        <w:pStyle w:val="Normal"/>
        <w:spacing w:lineRule="auto" w:line="240"/>
        <w:ind w:left="0" w:hanging="0"/>
        <w:jc w:val="center"/>
        <w:rPr>
          <w:rFonts w:ascii="Impact" w:hAnsi="Impact" w:eastAsia="Impact" w:cs="Impact"/>
          <w:color w:val="073763"/>
          <w:sz w:val="60"/>
          <w:szCs w:val="60"/>
        </w:rPr>
      </w:pPr>
      <w:r>
        <w:rPr>
          <w:rFonts w:eastAsia="Impact" w:cs="Impact" w:ascii="Impact" w:hAnsi="Impact"/>
          <w:color w:val="073763"/>
          <w:sz w:val="60"/>
          <w:szCs w:val="60"/>
        </w:rPr>
        <w:t xml:space="preserve">METAS ESPECÍFICAS </w:t>
      </w:r>
    </w:p>
    <w:p>
      <w:pPr>
        <w:pStyle w:val="Normal"/>
        <w:spacing w:lineRule="auto" w:line="240"/>
        <w:ind w:left="0" w:hanging="0"/>
        <w:jc w:val="center"/>
        <w:rPr>
          <w:rFonts w:ascii="Impact" w:hAnsi="Impact" w:eastAsia="Impact" w:cs="Impact"/>
          <w:color w:val="073763"/>
          <w:sz w:val="60"/>
          <w:szCs w:val="60"/>
        </w:rPr>
      </w:pPr>
      <w:r>
        <w:rPr>
          <w:rFonts w:eastAsia="Impact" w:cs="Impact" w:ascii="Impact" w:hAnsi="Impact"/>
          <w:color w:val="073763"/>
          <w:sz w:val="60"/>
          <w:szCs w:val="60"/>
        </w:rPr>
        <w:t xml:space="preserve">da Justiça do Trabalho </w:t>
      </w:r>
    </w:p>
    <w:p>
      <w:pPr>
        <w:pStyle w:val="Normal"/>
        <w:spacing w:lineRule="auto" w:line="240"/>
        <w:ind w:left="0" w:hanging="0"/>
        <w:jc w:val="center"/>
        <w:rPr>
          <w:rFonts w:ascii="Arial" w:hAnsi="Arial" w:eastAsia="Arial" w:cs="Arial"/>
          <w:b/>
          <w:b/>
          <w:bCs/>
          <w:color w:val="002A6D"/>
        </w:rPr>
      </w:pPr>
      <w:r>
        <w:rPr>
          <w:rFonts w:eastAsia="Impact" w:cs="Impact" w:ascii="Impact" w:hAnsi="Impact"/>
          <w:color w:val="073763"/>
          <w:sz w:val="60"/>
          <w:szCs w:val="60"/>
        </w:rPr>
        <w:t xml:space="preserve"> </w:t>
      </w:r>
      <w:r>
        <w:rPr>
          <w:rFonts w:eastAsia="Impact" w:cs="Impact" w:ascii="Impact" w:hAnsi="Impact"/>
          <w:color w:val="073763"/>
          <w:sz w:val="60"/>
          <w:szCs w:val="60"/>
        </w:rPr>
        <w:t>2026</w:t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bCs/>
          <w:color w:val="002A6D"/>
          <w:highlight w:val="yellow"/>
        </w:rPr>
      </w:pPr>
      <w:r>
        <w:rPr>
          <w:rFonts w:eastAsia="Arial" w:cs="Arial" w:ascii="Arial" w:hAnsi="Arial"/>
          <w:b/>
          <w:bCs/>
          <w:color w:val="002A6D"/>
          <w:highlight w:val="yellow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bCs/>
          <w:color w:val="002A6D"/>
          <w:highlight w:val="yellow"/>
        </w:rPr>
      </w:pPr>
      <w:r>
        <w:rPr>
          <w:rFonts w:eastAsia="Arial" w:cs="Arial" w:ascii="Arial" w:hAnsi="Arial"/>
          <w:b/>
          <w:bCs/>
          <w:color w:val="002A6D"/>
          <w:highlight w:val="yellow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bCs/>
          <w:color w:val="002A6D"/>
          <w:highlight w:val="yellow"/>
        </w:rPr>
      </w:pPr>
      <w:r>
        <w:rPr>
          <w:rFonts w:eastAsia="Arial" w:cs="Arial" w:ascii="Arial" w:hAnsi="Arial"/>
          <w:b/>
          <w:bCs/>
          <w:color w:val="002A6D"/>
          <w:highlight w:val="yellow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bCs/>
          <w:color w:val="002A6D"/>
          <w:highlight w:val="yellow"/>
        </w:rPr>
      </w:pPr>
      <w:r>
        <w:rPr>
          <w:rFonts w:eastAsia="Arial" w:cs="Arial" w:ascii="Arial" w:hAnsi="Arial"/>
          <w:b/>
          <w:bCs/>
          <w:color w:val="002A6D"/>
          <w:highlight w:val="yellow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/>
          <w:b/>
          <w:bCs/>
          <w:color w:val="002A6D"/>
        </w:rPr>
      </w:pPr>
      <w:r>
        <w:rPr>
          <w:rFonts w:eastAsia="Arial" w:cs="Arial" w:ascii="Arial" w:hAnsi="Arial"/>
          <w:b/>
          <w:bCs/>
          <w:color w:val="002A6D"/>
        </w:rPr>
      </w:r>
    </w:p>
    <w:p>
      <w:pPr>
        <w:pStyle w:val="Normal"/>
        <w:spacing w:lineRule="auto" w:line="240"/>
        <w:jc w:val="center"/>
        <w:rPr/>
      </w:pPr>
      <w:r>
        <w:rPr>
          <w:rFonts w:eastAsia="Arial" w:cs="Arial" w:ascii="Arial" w:hAnsi="Arial"/>
          <w:b/>
          <w:bCs/>
          <w:color w:val="002A6D"/>
        </w:rPr>
        <w:t xml:space="preserve">Os resultados das metas nacionais 1, 2, 3 e 5 e da meta específica 3, referentes a janeiro a junho de 2026, foram extraídos do </w:t>
      </w:r>
      <w:hyperlink r:id="rId3">
        <w:r>
          <w:rPr>
            <w:rStyle w:val="LinkdaInternet"/>
            <w:rFonts w:eastAsia="Arial" w:cs="Arial" w:ascii="Arial" w:hAnsi="Arial"/>
            <w:b/>
            <w:bCs/>
            <w:color w:val="002A6D"/>
            <w:u w:val="single"/>
          </w:rPr>
          <w:t>Painel CSJT</w:t>
        </w:r>
      </w:hyperlink>
      <w:r>
        <w:rPr>
          <w:rFonts w:eastAsia="Arial" w:cs="Arial" w:ascii="Arial" w:hAnsi="Arial"/>
          <w:b/>
          <w:bCs/>
          <w:color w:val="002A6D"/>
        </w:rPr>
        <w:t>.</w:t>
      </w:r>
    </w:p>
    <w:p>
      <w:pPr>
        <w:pStyle w:val="Normal"/>
        <w:spacing w:lineRule="auto" w:line="240"/>
        <w:jc w:val="center"/>
        <w:rPr>
          <w:rFonts w:ascii="Nunito" w:hAnsi="Nunito" w:eastAsia="Nunito" w:cs="Nunito"/>
          <w:b/>
          <w:b/>
          <w:bCs/>
          <w:color w:val="073763"/>
          <w:sz w:val="60"/>
          <w:szCs w:val="60"/>
        </w:rPr>
      </w:pPr>
      <w:r>
        <w:rPr>
          <w:rFonts w:eastAsia="Arial" w:cs="Arial" w:ascii="Arial" w:hAnsi="Arial"/>
          <w:b/>
          <w:bCs/>
          <w:color w:val="002A6D"/>
        </w:rPr>
        <w:t>(atualizado em 09.07.2026)</w:t>
      </w:r>
    </w:p>
    <w:p>
      <w:pPr>
        <w:pStyle w:val="Normal"/>
        <w:pageBreakBefore w:val="false"/>
        <w:pBdr/>
        <w:shd w:val="clear" w:fill="auto"/>
        <w:ind w:left="0" w:hanging="0"/>
        <w:jc w:val="center"/>
        <w:rPr>
          <w:rFonts w:ascii="Nunito" w:hAnsi="Nunito" w:eastAsia="Nunito" w:cs="Nunito"/>
          <w:color w:val="073763"/>
          <w:sz w:val="60"/>
          <w:szCs w:val="60"/>
          <w:highlight w:val="yellow"/>
        </w:rPr>
      </w:pPr>
      <w:r>
        <w:rPr>
          <w:rFonts w:eastAsia="Nunito" w:cs="Nunito" w:ascii="Nunito" w:hAnsi="Nunito"/>
          <w:color w:val="073763"/>
          <w:sz w:val="60"/>
          <w:szCs w:val="60"/>
          <w:highlight w:val="yellow"/>
        </w:rPr>
      </w:r>
    </w:p>
    <w:p>
      <w:pPr>
        <w:pStyle w:val="Normal"/>
        <w:pageBreakBefore w:val="false"/>
        <w:pBdr/>
        <w:shd w:val="clear" w:fill="auto"/>
        <w:ind w:left="0" w:hanging="0"/>
        <w:jc w:val="left"/>
        <w:rPr>
          <w:rFonts w:ascii="Nunito" w:hAnsi="Nunito" w:eastAsia="Nunito" w:cs="Nunito"/>
          <w:color w:val="073763"/>
          <w:sz w:val="60"/>
          <w:szCs w:val="60"/>
        </w:rPr>
      </w:pPr>
      <w:r>
        <w:rPr>
          <w:rFonts w:eastAsia="Nunito" w:cs="Nunito" w:ascii="Nunito" w:hAnsi="Nunito"/>
          <w:color w:val="073763"/>
          <w:sz w:val="60"/>
          <w:szCs w:val="60"/>
        </w:rPr>
      </w:r>
    </w:p>
    <w:p>
      <w:pPr>
        <w:pStyle w:val="Normal"/>
        <w:pageBreakBefore w:val="false"/>
        <w:pBdr/>
        <w:shd w:val="clear" w:fill="auto"/>
        <w:ind w:left="0" w:hanging="0"/>
        <w:jc w:val="left"/>
        <w:rPr/>
      </w:pPr>
      <w:r>
        <w:rPr/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  <w:drawing>
          <wp:anchor behindDoc="0" distT="114300" distB="114300" distL="114300" distR="114300" simplePos="0" locked="0" layoutInCell="1" allowOverlap="1" relativeHeight="43">
            <wp:simplePos x="0" y="0"/>
            <wp:positionH relativeFrom="column">
              <wp:posOffset>671195</wp:posOffset>
            </wp:positionH>
            <wp:positionV relativeFrom="paragraph">
              <wp:posOffset>114300</wp:posOffset>
            </wp:positionV>
            <wp:extent cx="4600575" cy="1009650"/>
            <wp:effectExtent l="0" t="0" r="0" b="0"/>
            <wp:wrapSquare wrapText="bothSides"/>
            <wp:docPr id="2" name="image1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</w:r>
    </w:p>
    <w:p>
      <w:pPr>
        <w:pStyle w:val="Normal"/>
        <w:spacing w:lineRule="auto" w:line="333" w:before="200" w:after="200"/>
        <w:ind w:left="0" w:hanging="0"/>
        <w:rPr>
          <w:rFonts w:ascii="Arial" w:hAnsi="Arial" w:eastAsia="Arial" w:cs="Arial"/>
          <w:b/>
          <w:b/>
          <w:bCs/>
          <w:color w:val="027AA7"/>
          <w:sz w:val="16"/>
          <w:szCs w:val="16"/>
        </w:rPr>
      </w:pPr>
      <w:r>
        <w:rPr>
          <w:rFonts w:eastAsia="Arial" w:cs="Arial" w:ascii="Arial" w:hAnsi="Arial"/>
          <w:b/>
          <w:bCs/>
          <w:color w:val="027AA7"/>
          <w:sz w:val="16"/>
          <w:szCs w:val="16"/>
        </w:rPr>
      </w:r>
    </w:p>
    <w:p>
      <w:pPr>
        <w:pStyle w:val="Normal"/>
        <w:spacing w:lineRule="auto" w:line="333" w:before="200" w:after="200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  <w:t>JULGAR MAIS PROCESSOS QUE OS DISTRIBUÍDOS: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Julgar quantidade maior de processos de conhecimento do que os distribuídos de 20.12.2025 a 19.12.2026, excluídos os suspensos e sobrestados de 20.12.2025 a 19.12.2026. (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Meta: 100%</w:t>
      </w:r>
      <w:r>
        <w:rPr>
          <w:rFonts w:eastAsia="Arial" w:cs="Arial" w:ascii="Arial" w:hAnsi="Arial"/>
          <w:color w:val="000000"/>
          <w:sz w:val="24"/>
          <w:szCs w:val="24"/>
        </w:rPr>
        <w:t>)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  <w:t xml:space="preserve">Cláusula de Barreira: </w:t>
      </w:r>
      <w:r>
        <w:rPr>
          <w:rFonts w:eastAsia="Arial" w:cs="Arial" w:ascii="Arial" w:hAnsi="Arial"/>
          <w:color w:val="000000"/>
          <w:sz w:val="24"/>
          <w:szCs w:val="24"/>
        </w:rPr>
        <w:t>Taxa de Congestionamento Líquida (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TCL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) na Fase de Conhecimento do Justiça em Números, em 2026,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menor que 40%</w:t>
      </w:r>
      <w:r>
        <w:rPr>
          <w:rFonts w:eastAsia="Arial" w:cs="Arial" w:ascii="Arial" w:hAnsi="Arial"/>
          <w:color w:val="000000"/>
          <w:sz w:val="24"/>
          <w:szCs w:val="24"/>
        </w:rPr>
        <w:t>.</w:t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Garantir a duração razoável do processo.</w:t>
      </w:r>
    </w:p>
    <w:p>
      <w:pPr>
        <w:pStyle w:val="Normal"/>
        <w:spacing w:lineRule="auto" w:line="240" w:before="0" w:after="0"/>
        <w:ind w:left="0" w:right="-1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27AA7"/>
          <w:sz w:val="24"/>
          <w:szCs w:val="24"/>
        </w:rPr>
      </w:pPr>
      <w:r>
        <w:rPr>
          <w:rFonts w:eastAsia="Arial" w:cs="Arial" w:ascii="Arial" w:hAnsi="Arial"/>
          <w:b/>
          <w:bCs/>
          <w:color w:val="027AA7"/>
          <w:sz w:val="24"/>
          <w:szCs w:val="24"/>
        </w:rPr>
        <w:t>RESULTADO TRT-RS:</w:t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27AA7"/>
          <w:sz w:val="2"/>
          <w:szCs w:val="2"/>
          <w:highlight w:val="yellow"/>
        </w:rPr>
      </w:pPr>
      <w:r>
        <w:rPr>
          <w:rFonts w:eastAsia="Arial" w:cs="Arial" w:ascii="Arial" w:hAnsi="Arial"/>
          <w:b/>
          <w:bCs/>
          <w:color w:val="027AA7"/>
          <w:sz w:val="2"/>
          <w:szCs w:val="2"/>
          <w:highlight w:val="yellow"/>
        </w:rPr>
      </w:r>
    </w:p>
    <w:tbl>
      <w:tblPr>
        <w:tblStyle w:val="Table1"/>
        <w:tblW w:w="9360" w:type="dxa"/>
        <w:jc w:val="left"/>
        <w:tblInd w:w="-15" w:type="dxa"/>
        <w:tblBorders>
          <w:top w:val="single" w:sz="8" w:space="0" w:color="BDC1C6"/>
          <w:bottom w:val="single" w:sz="8" w:space="0" w:color="BDC1C6"/>
          <w:right w:val="single" w:sz="8" w:space="0" w:color="BDC1C6"/>
          <w:insideH w:val="single" w:sz="8" w:space="0" w:color="BDC1C6"/>
          <w:insideV w:val="single" w:sz="8" w:space="0" w:color="BDC1C6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140"/>
        <w:gridCol w:w="1650"/>
        <w:gridCol w:w="1695"/>
        <w:gridCol w:w="1435"/>
        <w:gridCol w:w="1234"/>
        <w:gridCol w:w="2205"/>
      </w:tblGrid>
      <w:tr>
        <w:trPr>
          <w:tblHeader w:val="true"/>
        </w:trPr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 xml:space="preserve">IPJ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  <w:t>(Meta 100%)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 distribuídos</w:t>
            </w:r>
          </w:p>
        </w:tc>
        <w:tc>
          <w:tcPr>
            <w:tcW w:w="14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julgados</w:t>
            </w:r>
          </w:p>
        </w:tc>
        <w:tc>
          <w:tcPr>
            <w:tcW w:w="12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Saldo</w:t>
            </w:r>
          </w:p>
        </w:tc>
        <w:tc>
          <w:tcPr>
            <w:tcW w:w="220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027AA7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TCL na Fase de Conhecimento (C.B &lt; 40%)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1º Grau</w:t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83,96%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73.543</w:t>
            </w:r>
          </w:p>
        </w:tc>
        <w:tc>
          <w:tcPr>
            <w:tcW w:w="14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61.744</w:t>
            </w:r>
          </w:p>
        </w:tc>
        <w:tc>
          <w:tcPr>
            <w:tcW w:w="12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11.799</w:t>
            </w:r>
          </w:p>
        </w:tc>
        <w:tc>
          <w:tcPr>
            <w:tcW w:w="220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68,76%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2º Grau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86,68%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38.869</w:t>
            </w:r>
          </w:p>
        </w:tc>
        <w:tc>
          <w:tcPr>
            <w:tcW w:w="14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33.692</w:t>
            </w:r>
          </w:p>
        </w:tc>
        <w:tc>
          <w:tcPr>
            <w:tcW w:w="12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5.177</w:t>
            </w:r>
          </w:p>
        </w:tc>
        <w:tc>
          <w:tcPr>
            <w:tcW w:w="220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64,73%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27AA7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TRT-RS</w:t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84,90%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122.412</w:t>
            </w:r>
          </w:p>
        </w:tc>
        <w:tc>
          <w:tcPr>
            <w:tcW w:w="14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95.436</w:t>
            </w:r>
          </w:p>
        </w:tc>
        <w:tc>
          <w:tcPr>
            <w:tcW w:w="12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16.976</w:t>
            </w:r>
          </w:p>
        </w:tc>
        <w:tc>
          <w:tcPr>
            <w:tcW w:w="220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67,48%</w:t>
            </w:r>
          </w:p>
        </w:tc>
      </w:tr>
    </w:tbl>
    <w:p>
      <w:pPr>
        <w:pStyle w:val="Normal"/>
        <w:spacing w:lineRule="auto" w:line="240" w:before="0" w:after="0"/>
        <w:ind w:left="0" w:hanging="0"/>
        <w:jc w:val="center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  <w:drawing>
          <wp:anchor behindDoc="1" distT="114300" distB="114300" distL="114300" distR="114300" simplePos="0" locked="0" layoutInCell="1" allowOverlap="1" relativeHeight="41">
            <wp:simplePos x="0" y="0"/>
            <wp:positionH relativeFrom="column">
              <wp:posOffset>-749300</wp:posOffset>
            </wp:positionH>
            <wp:positionV relativeFrom="paragraph">
              <wp:posOffset>342900</wp:posOffset>
            </wp:positionV>
            <wp:extent cx="3605530" cy="2193290"/>
            <wp:effectExtent l="0" t="0" r="0" b="0"/>
            <wp:wrapNone/>
            <wp:docPr id="3" name="image2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1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114300" distB="114300" distL="114300" distR="114300" simplePos="0" locked="0" layoutInCell="1" allowOverlap="1" relativeHeight="42">
            <wp:simplePos x="0" y="0"/>
            <wp:positionH relativeFrom="column">
              <wp:posOffset>2911475</wp:posOffset>
            </wp:positionH>
            <wp:positionV relativeFrom="paragraph">
              <wp:posOffset>342900</wp:posOffset>
            </wp:positionV>
            <wp:extent cx="3581400" cy="2195830"/>
            <wp:effectExtent l="0" t="0" r="0" b="0"/>
            <wp:wrapNone/>
            <wp:docPr id="4" name="image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hanging="0"/>
        <w:jc w:val="left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240" w:before="0" w:after="0"/>
        <w:ind w:left="0" w:hanging="0"/>
        <w:jc w:val="left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240" w:before="0" w:after="0"/>
        <w:ind w:left="0" w:hanging="0"/>
        <w:jc w:val="left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240" w:before="0" w:after="0"/>
        <w:ind w:left="0" w:hanging="0"/>
        <w:jc w:val="left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240" w:before="0" w:after="0"/>
        <w:ind w:left="0" w:hanging="0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240" w:before="0" w:after="0"/>
        <w:ind w:left="0" w:hanging="0"/>
        <w:jc w:val="left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240" w:before="0" w:after="0"/>
        <w:ind w:left="0" w:hanging="0"/>
        <w:jc w:val="left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27AA7"/>
          <w:sz w:val="2"/>
          <w:szCs w:val="2"/>
          <w:highlight w:val="yellow"/>
        </w:rPr>
      </w:pPr>
      <w:r>
        <w:rPr>
          <w:rFonts w:eastAsia="Arial" w:cs="Arial" w:ascii="Arial" w:hAnsi="Arial"/>
          <w:b/>
          <w:bCs/>
          <w:color w:val="027AA7"/>
          <w:sz w:val="2"/>
          <w:szCs w:val="2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  <w:highlight w:val="yellow"/>
        </w:rPr>
      </w:pPr>
      <w:r>
        <w:rPr>
          <w:rFonts w:eastAsia="Liberation Serif" w:cs="Liberation Serif" w:ascii="Liberation Serif" w:hAnsi="Liberation Serif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  <w:highlight w:val="yellow"/>
        </w:rPr>
      </w:pPr>
      <w:r>
        <w:rPr>
          <w:rFonts w:eastAsia="Liberation Serif" w:cs="Liberation Serif" w:ascii="Liberation Serif" w:hAnsi="Liberation Serif"/>
          <w:color w:val="00000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40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4600575" cy="952500"/>
            <wp:effectExtent l="0" t="0" r="0" b="0"/>
            <wp:wrapNone/>
            <wp:docPr id="5" name="image1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8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pageBreakBefore w:val="false"/>
        <w:pBdr/>
        <w:shd w:val="clear" w:fill="auto"/>
        <w:ind w:left="720" w:hanging="0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pageBreakBefore w:val="false"/>
        <w:pBdr/>
        <w:shd w:val="clear" w:fill="auto"/>
        <w:ind w:left="720" w:hanging="0"/>
        <w:rPr>
          <w:b/>
          <w:b/>
          <w:bCs/>
          <w:color w:val="000000"/>
          <w:sz w:val="40"/>
          <w:szCs w:val="40"/>
          <w:highlight w:val="yellow"/>
        </w:rPr>
      </w:pPr>
      <w:r>
        <w:rPr>
          <w:b/>
          <w:bCs/>
          <w:color w:val="000000"/>
          <w:sz w:val="40"/>
          <w:szCs w:val="40"/>
          <w:highlight w:val="yellow"/>
        </w:rPr>
      </w:r>
    </w:p>
    <w:p>
      <w:pPr>
        <w:pStyle w:val="Normal"/>
        <w:spacing w:lineRule="auto" w:line="333" w:before="200" w:after="200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</w:rPr>
        <w:t>JULGAR PROCESSOS MAIS ANTIGOS: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Identificar e julgar, até 31.12.2026, desconsiderados os processos que estiverem suspensos ao final de 2026 ou que forem dessobrestados durante o ano de 2026, pelo menos:</w:t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76" w:before="0" w:after="0"/>
        <w:ind w:left="1440" w:right="19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</w:rPr>
        <w:t>Parte 1: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 94%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dos processos distribuídos até 31.12.2024 nos 1º e 2º graus; e</w:t>
      </w:r>
    </w:p>
    <w:p>
      <w:pPr>
        <w:pStyle w:val="Normal"/>
        <w:widowControl w:val="false"/>
        <w:numPr>
          <w:ilvl w:val="0"/>
          <w:numId w:val="4"/>
        </w:numPr>
        <w:spacing w:lineRule="auto" w:line="276" w:before="0" w:after="0"/>
        <w:ind w:left="1440" w:right="19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</w:rPr>
        <w:t>Parte 2: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99%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dos processos pendentes de julgamento há 5 anos (2021) ou mais.</w:t>
      </w:r>
    </w:p>
    <w:p>
      <w:pPr>
        <w:pStyle w:val="Normal"/>
        <w:widowControl w:val="false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6" w:before="200" w:after="200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Garantir a duração razoável do processo.</w:t>
      </w:r>
    </w:p>
    <w:p>
      <w:pPr>
        <w:pStyle w:val="Normal"/>
        <w:widowControl w:val="false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ind w:left="0" w:hanging="0"/>
        <w:jc w:val="center"/>
        <w:rPr>
          <w:rFonts w:ascii="Arial" w:hAnsi="Arial" w:eastAsia="Arial" w:cs="Arial"/>
          <w:b/>
          <w:b/>
          <w:bCs/>
          <w:color w:val="C31F5A"/>
          <w:sz w:val="24"/>
          <w:szCs w:val="24"/>
          <w:u w:val="single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u w:val="single"/>
        </w:rPr>
        <w:t>PARTE 1</w:t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"/>
          <w:szCs w:val="2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</w:rPr>
        <w:t>RESULTADO TRT-RS:</w:t>
      </w:r>
    </w:p>
    <w:tbl>
      <w:tblPr>
        <w:tblStyle w:val="Table2"/>
        <w:tblW w:w="9360" w:type="dxa"/>
        <w:jc w:val="left"/>
        <w:tblInd w:w="-15" w:type="dxa"/>
        <w:tblBorders>
          <w:top w:val="single" w:sz="8" w:space="0" w:color="BDC1C6"/>
          <w:bottom w:val="single" w:sz="8" w:space="0" w:color="BDC1C6"/>
          <w:right w:val="single" w:sz="8" w:space="0" w:color="BDC1C6"/>
          <w:insideH w:val="single" w:sz="8" w:space="0" w:color="BDC1C6"/>
          <w:insideV w:val="single" w:sz="8" w:space="0" w:color="BDC1C6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140"/>
        <w:gridCol w:w="1650"/>
        <w:gridCol w:w="1695"/>
        <w:gridCol w:w="1545"/>
        <w:gridCol w:w="1995"/>
        <w:gridCol w:w="1334"/>
      </w:tblGrid>
      <w:tr>
        <w:trPr>
          <w:tblHeader w:val="true"/>
        </w:trPr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IPAJ - Parte 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  <w:t>(Meta 94%)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Cumprimento da Meta</w:t>
            </w:r>
          </w:p>
        </w:tc>
        <w:tc>
          <w:tcPr>
            <w:tcW w:w="154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Distribuídos</w:t>
            </w:r>
          </w:p>
        </w:tc>
        <w:tc>
          <w:tcPr>
            <w:tcW w:w="19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Distribuídos (Excluídos Suspensos e Dessobrestados)</w:t>
            </w:r>
          </w:p>
        </w:tc>
        <w:tc>
          <w:tcPr>
            <w:tcW w:w="13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C41F5A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Julgados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1º Grau</w:t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92,38%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98,27%</w:t>
            </w:r>
          </w:p>
        </w:tc>
        <w:tc>
          <w:tcPr>
            <w:tcW w:w="154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111.036</w:t>
            </w:r>
          </w:p>
        </w:tc>
        <w:tc>
          <w:tcPr>
            <w:tcW w:w="19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107.018</w:t>
            </w:r>
          </w:p>
        </w:tc>
        <w:tc>
          <w:tcPr>
            <w:tcW w:w="13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98.858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2º Grau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98,78%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105,09%</w:t>
            </w:r>
          </w:p>
        </w:tc>
        <w:tc>
          <w:tcPr>
            <w:tcW w:w="154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26.542</w:t>
            </w:r>
          </w:p>
        </w:tc>
        <w:tc>
          <w:tcPr>
            <w:tcW w:w="19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25.582</w:t>
            </w:r>
          </w:p>
        </w:tc>
        <w:tc>
          <w:tcPr>
            <w:tcW w:w="13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25.271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TRT-RS</w:t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93,61%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99,59%</w:t>
            </w:r>
          </w:p>
        </w:tc>
        <w:tc>
          <w:tcPr>
            <w:tcW w:w="154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137.578</w:t>
            </w:r>
          </w:p>
        </w:tc>
        <w:tc>
          <w:tcPr>
            <w:tcW w:w="19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132.600</w:t>
            </w:r>
          </w:p>
        </w:tc>
        <w:tc>
          <w:tcPr>
            <w:tcW w:w="133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124.129</w:t>
            </w:r>
          </w:p>
        </w:tc>
      </w:tr>
    </w:tbl>
    <w:p>
      <w:pPr>
        <w:pStyle w:val="Normal"/>
        <w:spacing w:lineRule="auto" w:line="360" w:before="0" w:after="0"/>
        <w:ind w:left="95" w:right="191" w:firstLine="1077"/>
        <w:jc w:val="center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9">
            <wp:simplePos x="0" y="0"/>
            <wp:positionH relativeFrom="column">
              <wp:posOffset>209550</wp:posOffset>
            </wp:positionH>
            <wp:positionV relativeFrom="paragraph">
              <wp:posOffset>133350</wp:posOffset>
            </wp:positionV>
            <wp:extent cx="3760470" cy="2270760"/>
            <wp:effectExtent l="0" t="0" r="0" b="0"/>
            <wp:wrapNone/>
            <wp:docPr id="6" name="image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360" w:before="0" w:after="0"/>
        <w:ind w:left="95" w:right="191" w:firstLine="1077"/>
        <w:jc w:val="center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360" w:before="0" w:after="0"/>
        <w:ind w:left="90" w:right="191" w:firstLine="1080"/>
        <w:jc w:val="center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360" w:before="0" w:after="0"/>
        <w:ind w:left="90" w:right="191" w:firstLine="1080"/>
        <w:jc w:val="center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ind w:left="0" w:hanging="0"/>
        <w:jc w:val="center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ind w:left="0" w:hanging="0"/>
        <w:jc w:val="center"/>
        <w:rPr>
          <w:rFonts w:ascii="Arial" w:hAnsi="Arial" w:eastAsia="Arial" w:cs="Arial"/>
          <w:b/>
          <w:b/>
          <w:bCs/>
          <w:color w:val="C31F5A"/>
          <w:sz w:val="24"/>
          <w:szCs w:val="24"/>
          <w:u w:val="single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u w:val="single"/>
        </w:rPr>
        <w:t>PARTE 2</w:t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"/>
          <w:szCs w:val="2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</w:rPr>
        <w:t>RESULTADO TRT-RS:</w:t>
      </w:r>
    </w:p>
    <w:tbl>
      <w:tblPr>
        <w:tblStyle w:val="Table3"/>
        <w:tblW w:w="9300" w:type="dxa"/>
        <w:jc w:val="left"/>
        <w:tblInd w:w="-15" w:type="dxa"/>
        <w:tblBorders>
          <w:top w:val="single" w:sz="8" w:space="0" w:color="BDC1C6"/>
          <w:bottom w:val="single" w:sz="8" w:space="0" w:color="BDC1C6"/>
          <w:right w:val="single" w:sz="8" w:space="0" w:color="BDC1C6"/>
          <w:insideH w:val="single" w:sz="8" w:space="0" w:color="BDC1C6"/>
          <w:insideV w:val="single" w:sz="8" w:space="0" w:color="BDC1C6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140"/>
        <w:gridCol w:w="1650"/>
        <w:gridCol w:w="2014"/>
        <w:gridCol w:w="2110"/>
        <w:gridCol w:w="2386"/>
      </w:tblGrid>
      <w:tr>
        <w:trPr>
          <w:tblHeader w:val="true"/>
        </w:trPr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IPAJ - Parte 2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  <w:t>(Meta 99%)</w:t>
            </w:r>
          </w:p>
        </w:tc>
        <w:tc>
          <w:tcPr>
            <w:tcW w:w="201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Mais Antigos Julgados</w:t>
            </w:r>
          </w:p>
        </w:tc>
        <w:tc>
          <w:tcPr>
            <w:tcW w:w="211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Mais Antigos Pendentes</w:t>
            </w:r>
          </w:p>
        </w:tc>
        <w:tc>
          <w:tcPr>
            <w:tcW w:w="238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C41F5A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Saldo de Processos Mais Antigos para 2026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1º Grau</w:t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78,89%</w:t>
            </w:r>
          </w:p>
        </w:tc>
        <w:tc>
          <w:tcPr>
            <w:tcW w:w="201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71</w:t>
            </w:r>
          </w:p>
        </w:tc>
        <w:tc>
          <w:tcPr>
            <w:tcW w:w="211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19</w:t>
            </w:r>
          </w:p>
        </w:tc>
        <w:tc>
          <w:tcPr>
            <w:tcW w:w="238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90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2º Grau</w:t>
            </w:r>
          </w:p>
        </w:tc>
        <w:tc>
          <w:tcPr>
            <w:tcW w:w="1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101,33%</w:t>
            </w:r>
          </w:p>
        </w:tc>
        <w:tc>
          <w:tcPr>
            <w:tcW w:w="201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76</w:t>
            </w:r>
          </w:p>
        </w:tc>
        <w:tc>
          <w:tcPr>
            <w:tcW w:w="211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0</w:t>
            </w:r>
          </w:p>
        </w:tc>
        <w:tc>
          <w:tcPr>
            <w:tcW w:w="238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76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C41F5A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TRT-RS</w:t>
            </w:r>
          </w:p>
        </w:tc>
        <w:tc>
          <w:tcPr>
            <w:tcW w:w="16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89,09%</w:t>
            </w:r>
          </w:p>
        </w:tc>
        <w:tc>
          <w:tcPr>
            <w:tcW w:w="201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147</w:t>
            </w:r>
          </w:p>
        </w:tc>
        <w:tc>
          <w:tcPr>
            <w:tcW w:w="211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19</w:t>
            </w:r>
          </w:p>
        </w:tc>
        <w:tc>
          <w:tcPr>
            <w:tcW w:w="238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166</w:t>
            </w:r>
          </w:p>
        </w:tc>
      </w:tr>
    </w:tbl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8">
            <wp:simplePos x="0" y="0"/>
            <wp:positionH relativeFrom="column">
              <wp:posOffset>1149350</wp:posOffset>
            </wp:positionH>
            <wp:positionV relativeFrom="paragraph">
              <wp:posOffset>260350</wp:posOffset>
            </wp:positionV>
            <wp:extent cx="3916680" cy="2391410"/>
            <wp:effectExtent l="0" t="0" r="0" b="0"/>
            <wp:wrapNone/>
            <wp:docPr id="7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b/>
          <w:b/>
          <w:bCs/>
          <w:color w:val="C31F5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7">
            <wp:simplePos x="0" y="0"/>
            <wp:positionH relativeFrom="column">
              <wp:posOffset>704850</wp:posOffset>
            </wp:positionH>
            <wp:positionV relativeFrom="paragraph">
              <wp:posOffset>114300</wp:posOffset>
            </wp:positionV>
            <wp:extent cx="4542155" cy="952500"/>
            <wp:effectExtent l="0" t="0" r="0" b="0"/>
            <wp:wrapNone/>
            <wp:docPr id="8" name="image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333" w:before="400" w:after="200"/>
        <w:ind w:left="0" w:hanging="0"/>
        <w:rPr>
          <w:rFonts w:ascii="Arial" w:hAnsi="Arial" w:eastAsia="Arial" w:cs="Arial"/>
          <w:b/>
          <w:b/>
          <w:bCs/>
          <w:color w:val="017F53"/>
          <w:sz w:val="24"/>
          <w:szCs w:val="24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</w:rPr>
        <w:t>ESTIMULAR A CONCILIAÇÃO: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Aumentar o Índice de Conciliação (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IC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) na fase de conhecimento em 0,5 ponto percentual em relação à média do biênio 2023/2024.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(Meta TRT-RS: 44,50%, considerada a média anterior)</w:t>
      </w:r>
    </w:p>
    <w:p>
      <w:pPr>
        <w:pStyle w:val="Normal"/>
        <w:spacing w:lineRule="auto" w:line="276" w:before="0" w:after="0"/>
        <w:ind w:left="720" w:right="19" w:hanging="0"/>
        <w:jc w:val="both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</w:rPr>
        <w:t>Cláusula de Barreira: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alcançar, no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mínimo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,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38%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de conciliação.</w:t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400" w:after="200"/>
        <w:ind w:left="0" w:hanging="0"/>
        <w:rPr>
          <w:rFonts w:ascii="Arial" w:hAnsi="Arial" w:eastAsia="Arial" w:cs="Arial"/>
          <w:b/>
          <w:b/>
          <w:bCs/>
          <w:color w:val="017F53"/>
          <w:sz w:val="24"/>
          <w:szCs w:val="24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19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Assegurar o tratamento adequado dos conflitos trabalhistas.</w:t>
      </w:r>
    </w:p>
    <w:p>
      <w:pPr>
        <w:pStyle w:val="Normal"/>
        <w:ind w:left="0" w:right="19" w:hanging="0"/>
        <w:rPr>
          <w:rFonts w:ascii="Arial" w:hAnsi="Arial" w:eastAsia="Arial" w:cs="Arial"/>
          <w:b/>
          <w:b/>
          <w:bCs/>
          <w:color w:val="017F53"/>
          <w:sz w:val="6"/>
          <w:szCs w:val="6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6"/>
          <w:szCs w:val="6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17F53"/>
          <w:sz w:val="24"/>
          <w:szCs w:val="24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</w:rPr>
        <w:t>RESULTADO TRT-RS:</w:t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"/>
          <w:szCs w:val="2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"/>
          <w:szCs w:val="2"/>
          <w:highlight w:val="yellow"/>
        </w:rPr>
      </w:r>
    </w:p>
    <w:tbl>
      <w:tblPr>
        <w:tblStyle w:val="Table4"/>
        <w:tblW w:w="9300" w:type="dxa"/>
        <w:jc w:val="left"/>
        <w:tblInd w:w="-15" w:type="dxa"/>
        <w:tblBorders>
          <w:top w:val="single" w:sz="8" w:space="0" w:color="BDC1C6"/>
          <w:bottom w:val="single" w:sz="8" w:space="0" w:color="BDC1C6"/>
          <w:right w:val="single" w:sz="8" w:space="0" w:color="BDC1C6"/>
          <w:insideH w:val="single" w:sz="8" w:space="0" w:color="BDC1C6"/>
          <w:insideV w:val="single" w:sz="8" w:space="0" w:color="BDC1C6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140"/>
        <w:gridCol w:w="1830"/>
        <w:gridCol w:w="1905"/>
        <w:gridCol w:w="2174"/>
        <w:gridCol w:w="2251"/>
      </w:tblGrid>
      <w:tr>
        <w:trPr>
          <w:tblHeader w:val="true"/>
        </w:trPr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18054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  <w:highlight w:val="yellow"/>
              </w:rPr>
            </w:pPr>
            <w:r>
              <w:rPr>
                <w:rFonts w:eastAsia="Arial" w:cs="Arial" w:ascii="Arial" w:hAnsi="Arial"/>
                <w:color w:val="FFFFFF"/>
                <w:highlight w:val="yellow"/>
              </w:rPr>
            </w:r>
          </w:p>
        </w:tc>
        <w:tc>
          <w:tcPr>
            <w:tcW w:w="183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18054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Índice de Conciliação</w:t>
            </w:r>
          </w:p>
        </w:tc>
        <w:tc>
          <w:tcPr>
            <w:tcW w:w="190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18054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 xml:space="preserve">Meta </w:t>
            </w:r>
            <w:r>
              <w:rPr>
                <w:rFonts w:eastAsia="Arial" w:cs="Arial" w:ascii="Arial" w:hAnsi="Arial"/>
                <w:color w:val="FFFFFF"/>
              </w:rPr>
              <w:t>(C.B&gt;=38%)</w:t>
            </w:r>
          </w:p>
        </w:tc>
        <w:tc>
          <w:tcPr>
            <w:tcW w:w="217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18054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Solucionados</w:t>
            </w:r>
          </w:p>
        </w:tc>
        <w:tc>
          <w:tcPr>
            <w:tcW w:w="2251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018054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Processos Conciliados</w:t>
            </w:r>
          </w:p>
        </w:tc>
      </w:tr>
      <w:tr>
        <w:trPr/>
        <w:tc>
          <w:tcPr>
            <w:tcW w:w="114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18054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TRT-RS</w:t>
            </w:r>
          </w:p>
        </w:tc>
        <w:tc>
          <w:tcPr>
            <w:tcW w:w="183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42,36%</w:t>
            </w:r>
          </w:p>
        </w:tc>
        <w:tc>
          <w:tcPr>
            <w:tcW w:w="190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44,50%</w:t>
            </w:r>
          </w:p>
        </w:tc>
        <w:tc>
          <w:tcPr>
            <w:tcW w:w="217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58.687</w:t>
            </w:r>
          </w:p>
        </w:tc>
        <w:tc>
          <w:tcPr>
            <w:tcW w:w="2251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24.859</w:t>
            </w:r>
          </w:p>
        </w:tc>
      </w:tr>
    </w:tbl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6">
            <wp:simplePos x="0" y="0"/>
            <wp:positionH relativeFrom="column">
              <wp:posOffset>1139825</wp:posOffset>
            </wp:positionH>
            <wp:positionV relativeFrom="paragraph">
              <wp:posOffset>336550</wp:posOffset>
            </wp:positionV>
            <wp:extent cx="3928745" cy="2393950"/>
            <wp:effectExtent l="0" t="0" r="0" b="0"/>
            <wp:wrapNone/>
            <wp:docPr id="9" name="image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hanging="0"/>
        <w:jc w:val="center"/>
        <w:rPr>
          <w:rFonts w:ascii="Arial" w:hAnsi="Arial" w:eastAsia="Arial" w:cs="Arial"/>
          <w:b/>
          <w:b/>
          <w:bCs/>
          <w:color w:val="017F53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30"/>
          <w:szCs w:val="30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0" w:right="19" w:hanging="0"/>
        <w:jc w:val="both"/>
        <w:rPr>
          <w:rFonts w:ascii="Arial" w:hAnsi="Arial" w:eastAsia="Arial" w:cs="Arial"/>
          <w:b/>
          <w:b/>
          <w:bCs/>
          <w:color w:val="017F53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7F53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5">
            <wp:simplePos x="0" y="0"/>
            <wp:positionH relativeFrom="column">
              <wp:posOffset>681355</wp:posOffset>
            </wp:positionH>
            <wp:positionV relativeFrom="paragraph">
              <wp:posOffset>114300</wp:posOffset>
            </wp:positionV>
            <wp:extent cx="4591050" cy="952500"/>
            <wp:effectExtent l="0" t="0" r="0" b="0"/>
            <wp:wrapNone/>
            <wp:docPr id="10" name="image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333" w:before="400" w:after="200"/>
        <w:ind w:left="0" w:hanging="0"/>
        <w:rPr>
          <w:rFonts w:ascii="Arial" w:hAnsi="Arial" w:eastAsia="Arial" w:cs="Arial"/>
          <w:b/>
          <w:b/>
          <w:bCs/>
          <w:color w:val="694A8A"/>
          <w:sz w:val="24"/>
          <w:szCs w:val="24"/>
        </w:rPr>
      </w:pPr>
      <w:r>
        <w:rPr>
          <w:rFonts w:eastAsia="Arial" w:cs="Arial" w:ascii="Arial" w:hAnsi="Arial"/>
          <w:b/>
          <w:bCs/>
          <w:color w:val="694A8A"/>
          <w:sz w:val="24"/>
          <w:szCs w:val="24"/>
        </w:rPr>
        <w:t>REDUZIR A TAXA DE CONGESTIONAMENTO: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spacing w:lineRule="auto" w:line="276" w:before="0" w:after="0"/>
        <w:ind w:left="720" w:right="-14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Reduzir em 0,5 ponto percentual a taxa de congestionamento líquida, exceto execuções fiscais (TCLNFISC), em relação a 2025.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(Meta TRT-RS: 42,65%, considerada a TCL anterior)</w:t>
      </w:r>
    </w:p>
    <w:p>
      <w:pPr>
        <w:pStyle w:val="Normal"/>
        <w:spacing w:lineRule="auto" w:line="276" w:before="0" w:after="0"/>
        <w:ind w:left="720" w:right="-14" w:hanging="0"/>
        <w:jc w:val="both"/>
        <w:rPr>
          <w:rFonts w:ascii="Arial" w:hAnsi="Arial" w:eastAsia="Arial" w:cs="Arial"/>
          <w:color w:val="000000"/>
          <w:sz w:val="18"/>
          <w:szCs w:val="18"/>
          <w:highlight w:val="yellow"/>
        </w:rPr>
      </w:pPr>
      <w:r>
        <w:rPr>
          <w:rFonts w:eastAsia="Arial" w:cs="Arial" w:ascii="Arial" w:hAnsi="Arial"/>
          <w:color w:val="000000"/>
          <w:sz w:val="18"/>
          <w:szCs w:val="18"/>
          <w:highlight w:val="yellow"/>
        </w:rPr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-1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C</w:t>
      </w:r>
      <w:r>
        <w:rPr>
          <w:rFonts w:eastAsia="Arial" w:cs="Arial" w:ascii="Arial" w:hAnsi="Arial"/>
          <w:b/>
          <w:bCs/>
          <w:color w:val="694A8A"/>
          <w:sz w:val="24"/>
          <w:szCs w:val="24"/>
        </w:rPr>
        <w:t xml:space="preserve">láusula de Barreira </w:t>
      </w:r>
      <w:r>
        <w:rPr>
          <w:rFonts w:eastAsia="Arial" w:cs="Arial" w:ascii="Arial" w:hAnsi="Arial"/>
          <w:color w:val="000000"/>
          <w:sz w:val="24"/>
          <w:szCs w:val="24"/>
        </w:rPr>
        <w:t>(são necessárias as duas condições em conjunto)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: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76" w:before="100" w:after="100"/>
        <w:ind w:left="1440" w:right="-1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Taxa de Congestionamento Líquida de Processo de Conhecimento (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TCLC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) em 2026 </w:t>
      </w:r>
      <w:r>
        <w:rPr>
          <w:rFonts w:eastAsia="Arial Unicode MS" w:cs="Arial Unicode MS" w:ascii="Arial Unicode MS" w:hAnsi="Arial Unicode MS"/>
          <w:b/>
          <w:bCs/>
          <w:color w:val="000000"/>
          <w:sz w:val="24"/>
          <w:szCs w:val="24"/>
        </w:rPr>
        <w:t>≤ 40%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76" w:before="100" w:after="100"/>
        <w:ind w:left="1440" w:right="-1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Taxa de Congestionamento Líquida de Execução Não Fiscal (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TCLEXNFISC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) em 2026 </w:t>
      </w:r>
      <w:r>
        <w:rPr>
          <w:rFonts w:eastAsia="Arial Unicode MS" w:cs="Arial Unicode MS" w:ascii="Arial Unicode MS" w:hAnsi="Arial Unicode MS"/>
          <w:b/>
          <w:bCs/>
          <w:color w:val="000000"/>
          <w:sz w:val="24"/>
          <w:szCs w:val="24"/>
        </w:rPr>
        <w:t>≤ 45%</w:t>
      </w:r>
    </w:p>
    <w:p>
      <w:pPr>
        <w:pStyle w:val="Normal"/>
        <w:spacing w:lineRule="auto" w:line="240" w:before="400" w:after="200"/>
        <w:ind w:left="0" w:hanging="0"/>
        <w:rPr>
          <w:rFonts w:ascii="Arial" w:hAnsi="Arial" w:eastAsia="Arial" w:cs="Arial"/>
          <w:b/>
          <w:b/>
          <w:bCs/>
          <w:color w:val="694A8A"/>
          <w:sz w:val="24"/>
          <w:szCs w:val="24"/>
        </w:rPr>
      </w:pPr>
      <w:r>
        <w:rPr>
          <w:rFonts w:eastAsia="Arial" w:cs="Arial" w:ascii="Arial" w:hAnsi="Arial"/>
          <w:b/>
          <w:bCs/>
          <w:color w:val="694A8A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76" w:before="0" w:after="0"/>
        <w:ind w:left="720" w:right="-14" w:hanging="36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Garantir a duração razoável do processo.</w:t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694A8A"/>
          <w:sz w:val="16"/>
          <w:szCs w:val="16"/>
          <w:highlight w:val="yellow"/>
        </w:rPr>
      </w:pPr>
      <w:r>
        <w:rPr>
          <w:rFonts w:eastAsia="Arial" w:cs="Arial" w:ascii="Arial" w:hAnsi="Arial"/>
          <w:b/>
          <w:bCs/>
          <w:color w:val="694A8A"/>
          <w:sz w:val="16"/>
          <w:szCs w:val="16"/>
          <w:highlight w:val="yellow"/>
        </w:rPr>
      </w:r>
    </w:p>
    <w:p>
      <w:pPr>
        <w:pStyle w:val="Normal"/>
        <w:ind w:left="0" w:hanging="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694A8A"/>
          <w:sz w:val="24"/>
          <w:szCs w:val="24"/>
        </w:rPr>
        <w:t>RESULTADO TRT-RS:</w:t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"/>
          <w:szCs w:val="2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"/>
          <w:szCs w:val="2"/>
          <w:highlight w:val="yellow"/>
        </w:rPr>
      </w:r>
    </w:p>
    <w:tbl>
      <w:tblPr>
        <w:tblStyle w:val="Table5"/>
        <w:tblW w:w="10710" w:type="dxa"/>
        <w:jc w:val="left"/>
        <w:tblInd w:w="-855" w:type="dxa"/>
        <w:tblBorders>
          <w:top w:val="single" w:sz="8" w:space="0" w:color="BDC1C6"/>
          <w:bottom w:val="single" w:sz="8" w:space="0" w:color="BDC1C6"/>
          <w:right w:val="single" w:sz="8" w:space="0" w:color="BDC1C6"/>
          <w:insideH w:val="single" w:sz="8" w:space="0" w:color="BDC1C6"/>
          <w:insideV w:val="single" w:sz="8" w:space="0" w:color="BDC1C6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779"/>
        <w:gridCol w:w="901"/>
        <w:gridCol w:w="960"/>
        <w:gridCol w:w="1530"/>
        <w:gridCol w:w="1336"/>
        <w:gridCol w:w="1319"/>
        <w:gridCol w:w="1381"/>
        <w:gridCol w:w="1024"/>
        <w:gridCol w:w="1479"/>
      </w:tblGrid>
      <w:tr>
        <w:trPr>
          <w:tblHeader w:val="true"/>
        </w:trPr>
        <w:tc>
          <w:tcPr>
            <w:tcW w:w="779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FFFFFF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>TCLNFISC</w:t>
            </w:r>
          </w:p>
        </w:tc>
        <w:tc>
          <w:tcPr>
            <w:tcW w:w="96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>Meta</w:t>
            </w:r>
          </w:p>
        </w:tc>
        <w:tc>
          <w:tcPr>
            <w:tcW w:w="153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 xml:space="preserve">Cumprimento da Meta </w:t>
            </w:r>
          </w:p>
        </w:tc>
        <w:tc>
          <w:tcPr>
            <w:tcW w:w="1336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>Processos Baixados e Pendentes de Baixa</w:t>
            </w:r>
          </w:p>
        </w:tc>
        <w:tc>
          <w:tcPr>
            <w:tcW w:w="1319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>Processos Baixados</w:t>
            </w:r>
          </w:p>
        </w:tc>
        <w:tc>
          <w:tcPr>
            <w:tcW w:w="1381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>Processos Pendentes de Baixa</w:t>
            </w:r>
          </w:p>
        </w:tc>
        <w:tc>
          <w:tcPr>
            <w:tcW w:w="102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 xml:space="preserve">TCLC </w:t>
            </w:r>
            <w:r>
              <w:rPr>
                <w:rFonts w:eastAsia="Arial Unicode MS" w:cs="Arial Unicode MS" w:ascii="Arial Unicode MS" w:hAnsi="Arial Unicode MS"/>
                <w:color w:val="FFFFFF"/>
                <w:sz w:val="20"/>
                <w:szCs w:val="20"/>
              </w:rPr>
              <w:t>(C.B ≤ 40%)</w:t>
            </w:r>
          </w:p>
        </w:tc>
        <w:tc>
          <w:tcPr>
            <w:tcW w:w="147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624586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 xml:space="preserve">TCLEXNFISC </w:t>
            </w:r>
            <w:r>
              <w:rPr>
                <w:rFonts w:eastAsia="Arial Unicode MS" w:cs="Arial Unicode MS" w:ascii="Arial Unicode MS" w:hAnsi="Arial Unicode MS"/>
                <w:color w:val="FFFFFF"/>
                <w:sz w:val="20"/>
                <w:szCs w:val="20"/>
              </w:rPr>
              <w:t>(C.B ≤ 45%)</w:t>
            </w:r>
          </w:p>
        </w:tc>
      </w:tr>
      <w:tr>
        <w:trPr/>
        <w:tc>
          <w:tcPr>
            <w:tcW w:w="779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62458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0"/>
                <w:szCs w:val="20"/>
              </w:rPr>
              <w:t>TRT-RS</w:t>
            </w:r>
          </w:p>
        </w:tc>
        <w:tc>
          <w:tcPr>
            <w:tcW w:w="901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66,48%</w:t>
            </w:r>
          </w:p>
        </w:tc>
        <w:tc>
          <w:tcPr>
            <w:tcW w:w="96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42,65%</w:t>
            </w:r>
          </w:p>
        </w:tc>
        <w:tc>
          <w:tcPr>
            <w:tcW w:w="153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64,16%</w:t>
            </w:r>
          </w:p>
        </w:tc>
        <w:tc>
          <w:tcPr>
            <w:tcW w:w="1336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432.122</w:t>
            </w:r>
          </w:p>
        </w:tc>
        <w:tc>
          <w:tcPr>
            <w:tcW w:w="1319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144.846</w:t>
            </w:r>
          </w:p>
        </w:tc>
        <w:tc>
          <w:tcPr>
            <w:tcW w:w="1381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287.276</w:t>
            </w:r>
          </w:p>
        </w:tc>
        <w:tc>
          <w:tcPr>
            <w:tcW w:w="1024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67,48%</w:t>
            </w:r>
          </w:p>
        </w:tc>
        <w:tc>
          <w:tcPr>
            <w:tcW w:w="147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64,33%</w:t>
            </w:r>
          </w:p>
        </w:tc>
      </w:tr>
    </w:tbl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3">
            <wp:simplePos x="0" y="0"/>
            <wp:positionH relativeFrom="column">
              <wp:posOffset>-742950</wp:posOffset>
            </wp:positionH>
            <wp:positionV relativeFrom="paragraph">
              <wp:posOffset>151130</wp:posOffset>
            </wp:positionV>
            <wp:extent cx="3621405" cy="2201545"/>
            <wp:effectExtent l="0" t="0" r="0" b="0"/>
            <wp:wrapNone/>
            <wp:docPr id="1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114300" distB="114300" distL="114300" distR="114300" simplePos="0" locked="0" layoutInCell="1" allowOverlap="1" relativeHeight="34">
            <wp:simplePos x="0" y="0"/>
            <wp:positionH relativeFrom="column">
              <wp:posOffset>2900045</wp:posOffset>
            </wp:positionH>
            <wp:positionV relativeFrom="paragraph">
              <wp:posOffset>152400</wp:posOffset>
            </wp:positionV>
            <wp:extent cx="3624580" cy="2195830"/>
            <wp:effectExtent l="0" t="0" r="0" b="0"/>
            <wp:wrapNone/>
            <wp:docPr id="12" name="image1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0" w:after="0"/>
        <w:ind w:left="720" w:right="4" w:hanging="0"/>
        <w:jc w:val="both"/>
        <w:rPr>
          <w:rFonts w:ascii="Arial" w:hAnsi="Arial" w:eastAsia="Arial" w:cs="Arial"/>
          <w:b/>
          <w:b/>
          <w:bCs/>
          <w:color w:val="694A8A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694A8A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20" w:hanging="0"/>
        <w:jc w:val="both"/>
        <w:rPr>
          <w:rFonts w:ascii="Liberation Serif" w:hAnsi="Liberation Serif" w:eastAsia="Liberation Serif" w:cs="Liberation Serif"/>
          <w:color w:val="000000"/>
          <w:sz w:val="24"/>
          <w:szCs w:val="24"/>
          <w:highlight w:val="yellow"/>
        </w:rPr>
      </w:pPr>
      <w:r>
        <w:rPr>
          <w:rFonts w:eastAsia="Liberation Serif" w:cs="Liberation Serif" w:ascii="Liberation Serif" w:hAnsi="Liberation Serif"/>
          <w:color w:val="00000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2">
            <wp:simplePos x="0" y="0"/>
            <wp:positionH relativeFrom="column">
              <wp:posOffset>714375</wp:posOffset>
            </wp:positionH>
            <wp:positionV relativeFrom="paragraph">
              <wp:posOffset>114300</wp:posOffset>
            </wp:positionV>
            <wp:extent cx="4532630" cy="971550"/>
            <wp:effectExtent l="0" t="0" r="0" b="0"/>
            <wp:wrapNone/>
            <wp:docPr id="13" name="image1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5.png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63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333" w:before="200" w:after="200"/>
        <w:ind w:left="0" w:hanging="0"/>
        <w:rPr>
          <w:rFonts w:ascii="Arial" w:hAnsi="Arial" w:eastAsia="Arial" w:cs="Arial"/>
          <w:b/>
          <w:b/>
          <w:bCs/>
          <w:color w:val="727203"/>
          <w:sz w:val="24"/>
          <w:szCs w:val="24"/>
        </w:rPr>
      </w:pPr>
      <w:r>
        <w:rPr>
          <w:rFonts w:eastAsia="Arial" w:cs="Arial" w:ascii="Arial" w:hAnsi="Arial"/>
          <w:b/>
          <w:bCs/>
          <w:color w:val="727203"/>
          <w:sz w:val="24"/>
          <w:szCs w:val="24"/>
        </w:rPr>
        <w:t>ESTIMULAR A INOVAÇÃO NO PODER JUDICIÁRIO:</w:t>
      </w:r>
    </w:p>
    <w:p>
      <w:pPr>
        <w:pStyle w:val="Normal"/>
        <w:numPr>
          <w:ilvl w:val="0"/>
          <w:numId w:val="7"/>
        </w:numPr>
        <w:spacing w:lineRule="auto" w:line="288" w:before="0" w:after="0"/>
        <w:ind w:left="720" w:right="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Desenvolver, no ano de 2026,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dois projetos inovadores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, um com foco na melhoria dos serviços judiciais (atividade finalística), e um com foco na melhoria organizacional (processos internos), relacionados a um dos Macrodesafios da Estratégia Nacional, a partir dos Laboratórios de Inovação de ao menos duas instituições públicas. </w:t>
      </w:r>
    </w:p>
    <w:p>
      <w:pPr>
        <w:pStyle w:val="Normal"/>
        <w:spacing w:lineRule="auto" w:line="288" w:before="0" w:after="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727203"/>
          <w:sz w:val="24"/>
          <w:szCs w:val="24"/>
        </w:rPr>
      </w:pPr>
      <w:r>
        <w:rPr>
          <w:rFonts w:eastAsia="Arial" w:cs="Arial" w:ascii="Arial" w:hAnsi="Arial"/>
          <w:b/>
          <w:bCs/>
          <w:color w:val="727203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88" w:before="0" w:after="0"/>
        <w:ind w:left="720" w:right="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Promover o trabalho decente e a sustentabilidade.</w:t>
      </w:r>
    </w:p>
    <w:p>
      <w:pPr>
        <w:pStyle w:val="Normal"/>
        <w:spacing w:lineRule="auto" w:line="333" w:before="400" w:after="200"/>
        <w:ind w:left="0" w:right="4" w:hanging="0"/>
        <w:rPr>
          <w:rFonts w:ascii="Arial" w:hAnsi="Arial" w:eastAsia="Arial" w:cs="Arial"/>
          <w:b/>
          <w:b/>
          <w:bCs/>
          <w:color w:val="727203"/>
          <w:sz w:val="24"/>
          <w:szCs w:val="24"/>
        </w:rPr>
      </w:pPr>
      <w:r>
        <w:rPr>
          <w:rFonts w:eastAsia="Arial" w:cs="Arial" w:ascii="Arial" w:hAnsi="Arial"/>
          <w:b/>
          <w:bCs/>
          <w:color w:val="727203"/>
          <w:sz w:val="24"/>
          <w:szCs w:val="24"/>
        </w:rPr>
        <w:t>RESULTADO TRT-RS:</w:t>
      </w:r>
    </w:p>
    <w:p>
      <w:pPr>
        <w:pStyle w:val="Normal"/>
        <w:spacing w:lineRule="auto" w:line="276" w:before="60" w:after="60"/>
        <w:ind w:left="850" w:right="4" w:hanging="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Dois projetos foram cadastrados na plataforma Renovajud, cumprindo a primeira fase da meta:</w:t>
      </w:r>
    </w:p>
    <w:p>
      <w:pPr>
        <w:pStyle w:val="Normal"/>
        <w:numPr>
          <w:ilvl w:val="0"/>
          <w:numId w:val="6"/>
        </w:numPr>
        <w:spacing w:lineRule="auto" w:line="276" w:before="60" w:after="60"/>
        <w:ind w:left="1440" w:right="4" w:hanging="360"/>
        <w:jc w:val="both"/>
        <w:rPr/>
      </w:pPr>
      <w:hyperlink r:id="rId16">
        <w:r>
          <w:rPr>
            <w:rStyle w:val="LinkdaInternet"/>
            <w:rFonts w:eastAsia="Arial" w:cs="Arial" w:ascii="Arial" w:hAnsi="Arial"/>
            <w:b/>
            <w:bCs/>
            <w:i/>
            <w:iCs/>
            <w:color w:val="1155CC"/>
            <w:sz w:val="24"/>
            <w:szCs w:val="24"/>
            <w:u w:val="single"/>
          </w:rPr>
          <w:t>“</w:t>
        </w:r>
        <w:r>
          <w:rPr>
            <w:rStyle w:val="LinkdaInternet"/>
            <w:rFonts w:eastAsia="Arial" w:cs="Arial" w:ascii="Arial" w:hAnsi="Arial"/>
            <w:b/>
            <w:bCs/>
            <w:i/>
            <w:iCs/>
            <w:color w:val="1155CC"/>
            <w:sz w:val="24"/>
            <w:szCs w:val="24"/>
            <w:u w:val="single"/>
          </w:rPr>
          <w:t>Alerta: Análise de Licitações e Evidências de Restrição à Ampla Concorrência”</w:t>
        </w:r>
      </w:hyperlink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 - </w:t>
      </w:r>
      <w:r>
        <w:rPr>
          <w:rFonts w:eastAsia="Arial" w:cs="Arial" w:ascii="Arial" w:hAnsi="Arial"/>
          <w:color w:val="000000"/>
          <w:sz w:val="24"/>
          <w:szCs w:val="24"/>
        </w:rPr>
        <w:t>processos internos;</w:t>
      </w:r>
    </w:p>
    <w:p>
      <w:pPr>
        <w:pStyle w:val="Normal"/>
        <w:numPr>
          <w:ilvl w:val="0"/>
          <w:numId w:val="6"/>
        </w:numPr>
        <w:spacing w:lineRule="auto" w:line="276" w:before="60" w:after="60"/>
        <w:ind w:left="1440" w:right="4" w:hanging="360"/>
        <w:jc w:val="both"/>
        <w:rPr/>
      </w:pPr>
      <w:hyperlink r:id="rId17">
        <w:r>
          <w:rPr>
            <w:rStyle w:val="LinkdaInternet"/>
            <w:rFonts w:eastAsia="Arial" w:cs="Arial" w:ascii="Arial" w:hAnsi="Arial"/>
            <w:b/>
            <w:bCs/>
            <w:i/>
            <w:iCs/>
            <w:color w:val="1155CC"/>
            <w:sz w:val="24"/>
            <w:szCs w:val="24"/>
            <w:u w:val="single"/>
          </w:rPr>
          <w:t>“</w:t>
        </w:r>
        <w:r>
          <w:rPr>
            <w:rStyle w:val="LinkdaInternet"/>
            <w:rFonts w:eastAsia="Arial" w:cs="Arial" w:ascii="Arial" w:hAnsi="Arial"/>
            <w:b/>
            <w:bCs/>
            <w:i/>
            <w:iCs/>
            <w:color w:val="1155CC"/>
            <w:sz w:val="24"/>
            <w:szCs w:val="24"/>
            <w:u w:val="single"/>
          </w:rPr>
          <w:t xml:space="preserve">Justiça Em Rede: Estruturação do Atendimento nos Pontos de Inclusão Digital” </w:t>
        </w:r>
      </w:hyperlink>
      <w:r>
        <w:rPr>
          <w:rFonts w:eastAsia="Arial" w:cs="Arial" w:ascii="Arial" w:hAnsi="Arial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-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atividade finalística.</w:t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88" w:before="60" w:after="60"/>
        <w:ind w:left="720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1">
            <wp:simplePos x="0" y="0"/>
            <wp:positionH relativeFrom="column">
              <wp:posOffset>147320</wp:posOffset>
            </wp:positionH>
            <wp:positionV relativeFrom="paragraph">
              <wp:posOffset>114300</wp:posOffset>
            </wp:positionV>
            <wp:extent cx="5667375" cy="971550"/>
            <wp:effectExtent l="0" t="0" r="0" b="0"/>
            <wp:wrapNone/>
            <wp:docPr id="14" name="image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-14" w:hanging="0"/>
        <w:jc w:val="both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0" w:right="-14" w:hanging="0"/>
        <w:jc w:val="both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88" w:before="0" w:after="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500" w:after="400"/>
        <w:ind w:left="0" w:right="4" w:hanging="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</w:rPr>
        <w:t>INSTITUIR, ANUALMENTE, O PLANO DE QUALIDADE DE VIDA DO TRIBUNAL E ALCANÇAR EM 2026: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</w:t>
      </w:r>
    </w:p>
    <w:tbl>
      <w:tblPr>
        <w:tblStyle w:val="Table6"/>
        <w:tblW w:w="9052" w:type="dxa"/>
        <w:jc w:val="left"/>
        <w:tblInd w:w="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9052"/>
      </w:tblGrid>
      <w:tr>
        <w:trPr/>
        <w:tc>
          <w:tcPr>
            <w:tcW w:w="9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  <w:shd w:fill="CFE2F3" w:val="clear"/>
            <w:tcMar>
              <w:left w:w="90" w:type="dxa"/>
            </w:tcMar>
          </w:tcPr>
          <w:p>
            <w:pPr>
              <w:pStyle w:val="Normal"/>
              <w:spacing w:lineRule="auto" w:line="288" w:before="0" w:after="0"/>
              <w:ind w:left="0" w:right="4" w:hanging="0"/>
              <w:jc w:val="both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a)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a participação de pelo menos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10%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do número total de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 xml:space="preserve"> magistrados(as) 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ativos(as) e de pelo menos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15%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do número total de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 xml:space="preserve"> servidores(as)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ativos(as) no TRT, considerando o quantitativo total de participantes distintos, no conjunto de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ações de qualidade de vida planejadas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; </w:t>
            </w:r>
          </w:p>
        </w:tc>
      </w:tr>
    </w:tbl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RESULTADO TRT-RS:</w:t>
      </w:r>
    </w:p>
    <w:p>
      <w:pPr>
        <w:pStyle w:val="Normal"/>
        <w:widowControl w:val="false"/>
        <w:spacing w:lineRule="auto" w:line="240" w:before="0" w:after="0"/>
        <w:ind w:left="0" w:firstLine="72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Até 30.06.2026, o quantitativo total de participantes ativos e distintos, no conjunto de ações de qualidade de vida planejadas foi de: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720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55 magistrados;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720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650 servidores;</w:t>
      </w:r>
    </w:p>
    <w:p>
      <w:pPr>
        <w:pStyle w:val="Normal"/>
        <w:widowControl w:val="false"/>
        <w:numPr>
          <w:ilvl w:val="0"/>
          <w:numId w:val="10"/>
        </w:numPr>
        <w:spacing w:lineRule="auto" w:line="240" w:before="0" w:after="0"/>
        <w:ind w:left="720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19 estagiários.</w:t>
      </w:r>
    </w:p>
    <w:p>
      <w:pPr>
        <w:pStyle w:val="Normal"/>
        <w:spacing w:lineRule="auto" w:line="240" w:before="0" w:after="0"/>
        <w:ind w:left="0" w:right="4" w:hanging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tbl>
      <w:tblPr>
        <w:tblStyle w:val="Table7"/>
        <w:tblW w:w="9052" w:type="dxa"/>
        <w:jc w:val="left"/>
        <w:tblInd w:w="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9052"/>
      </w:tblGrid>
      <w:tr>
        <w:trPr/>
        <w:tc>
          <w:tcPr>
            <w:tcW w:w="9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  <w:shd w:fill="CFE2F3" w:val="clear"/>
            <w:tcMar>
              <w:left w:w="90" w:type="dxa"/>
            </w:tcMar>
          </w:tcPr>
          <w:p>
            <w:pPr>
              <w:pStyle w:val="Normal"/>
              <w:spacing w:lineRule="auto" w:line="288" w:before="0" w:after="0"/>
              <w:ind w:left="0" w:right="4" w:hanging="0"/>
              <w:jc w:val="both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b)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a realização de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exames periódicos de saúde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em pelo menos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15%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dos(as)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 xml:space="preserve">magistrados(as) 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e em pelo menos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15%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dos(as)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servidores(as)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; </w:t>
            </w:r>
          </w:p>
        </w:tc>
      </w:tr>
    </w:tbl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RESULTADO TRT-RS:</w:t>
      </w:r>
    </w:p>
    <w:p>
      <w:pPr>
        <w:pStyle w:val="Normal"/>
        <w:widowControl w:val="false"/>
        <w:spacing w:lineRule="auto" w:line="240" w:before="0" w:after="0"/>
        <w:ind w:left="0" w:firstLine="72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Até 30.06.2026, foram realizados exames periódicos de saúde em: 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720" w:hanging="360"/>
        <w:rPr>
          <w:rFonts w:ascii="Arial" w:hAnsi="Arial" w:eastAsia="Arial" w:cs="Arial"/>
        </w:rPr>
      </w:pPr>
      <w:r>
        <w:rPr>
          <w:rFonts w:eastAsia="Arial" w:cs="Arial" w:ascii="Arial" w:hAnsi="Arial"/>
          <w:color w:val="000000"/>
          <w:sz w:val="24"/>
          <w:szCs w:val="24"/>
        </w:rPr>
        <w:t>10 magistrados;</w:t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ind w:left="720" w:hanging="360"/>
        <w:rPr>
          <w:rFonts w:ascii="Arial" w:hAnsi="Arial" w:eastAsia="Arial" w:cs="Arial"/>
        </w:rPr>
      </w:pPr>
      <w:r>
        <w:rPr>
          <w:rFonts w:eastAsia="Arial" w:cs="Arial" w:ascii="Arial" w:hAnsi="Arial"/>
          <w:color w:val="000000"/>
          <w:sz w:val="24"/>
          <w:szCs w:val="24"/>
        </w:rPr>
        <w:t>340 servidores.</w:t>
      </w:r>
    </w:p>
    <w:p>
      <w:pPr>
        <w:pStyle w:val="Normal"/>
        <w:widowControl w:val="false"/>
        <w:spacing w:lineRule="auto" w:line="240" w:before="0" w:after="0"/>
        <w:ind w:left="720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tbl>
      <w:tblPr>
        <w:tblStyle w:val="Table8"/>
        <w:tblW w:w="9052" w:type="dxa"/>
        <w:jc w:val="left"/>
        <w:tblInd w:w="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9052"/>
      </w:tblGrid>
      <w:tr>
        <w:trPr/>
        <w:tc>
          <w:tcPr>
            <w:tcW w:w="9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  <w:shd w:fill="CFE2F3" w:val="clear"/>
            <w:tcMar>
              <w:left w:w="90" w:type="dxa"/>
            </w:tcMar>
          </w:tcPr>
          <w:p>
            <w:pPr>
              <w:pStyle w:val="Normal"/>
              <w:spacing w:lineRule="auto" w:line="276" w:before="0" w:after="0"/>
              <w:ind w:left="0" w:right="-14" w:hanging="0"/>
              <w:jc w:val="both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c)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a promoção de pelo menos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3 (três) ações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com vistas a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 xml:space="preserve"> reduzir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a incidência de casos de uma das cinco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doenças mais frequentes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constatadas nos exames periódicos de saúde do ano anterior ou de uma das cinco maiores causas de absenteísmo do ano anterior;</w:t>
            </w:r>
          </w:p>
        </w:tc>
      </w:tr>
    </w:tbl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RESULTADO TRT-RS: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left="720" w:hanging="360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Campanha de Vacinação contra Influenza 2026;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left="720" w:hanging="360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Cuidando do Coração de Mulher;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left="720" w:hanging="360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Adequação Ergonômica do Posto de Trabalho;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left="720" w:hanging="36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Vamos medir o colesterol;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left="720" w:hanging="36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Saúde mental na era das bets: da aposta recreativa ao transtorno do jogo.</w:t>
      </w:r>
    </w:p>
    <w:tbl>
      <w:tblPr>
        <w:tblStyle w:val="Table9"/>
        <w:tblW w:w="9052" w:type="dxa"/>
        <w:jc w:val="left"/>
        <w:tblInd w:w="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9052"/>
      </w:tblGrid>
      <w:tr>
        <w:trPr/>
        <w:tc>
          <w:tcPr>
            <w:tcW w:w="9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  <w:shd w:fill="CFE2F3" w:val="clear"/>
            <w:tcMar>
              <w:left w:w="90" w:type="dxa"/>
            </w:tcMar>
          </w:tcPr>
          <w:p>
            <w:pPr>
              <w:pStyle w:val="Normal"/>
              <w:spacing w:lineRule="auto" w:line="276" w:before="0" w:after="0"/>
              <w:ind w:left="0" w:right="-14" w:hanging="0"/>
              <w:jc w:val="both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d)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a promoção de pelo menos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1 (uma) ação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em que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participem terceirizados(as), estagiários(as) e aprendizes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RESULTADO TRT-RS:</w:t>
      </w:r>
    </w:p>
    <w:p>
      <w:pPr>
        <w:pStyle w:val="Normal"/>
        <w:widowControl w:val="false"/>
        <w:spacing w:lineRule="auto" w:line="240" w:before="0" w:after="0"/>
        <w:ind w:left="0" w:firstLine="72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Tanto a “</w:t>
      </w:r>
      <w:r>
        <w:rPr>
          <w:rFonts w:eastAsia="Arial" w:cs="Arial" w:ascii="Arial" w:hAnsi="Arial"/>
          <w:i/>
          <w:iCs/>
          <w:color w:val="000000"/>
          <w:sz w:val="24"/>
          <w:szCs w:val="24"/>
        </w:rPr>
        <w:t>Campanha de Vacinação contra Influenza 2026</w:t>
      </w:r>
      <w:r>
        <w:rPr>
          <w:rFonts w:eastAsia="Arial" w:cs="Arial" w:ascii="Arial" w:hAnsi="Arial"/>
          <w:color w:val="000000"/>
          <w:sz w:val="24"/>
          <w:szCs w:val="24"/>
        </w:rPr>
        <w:t>”, quanto a ação “</w:t>
      </w:r>
      <w:r>
        <w:rPr>
          <w:rFonts w:eastAsia="Arial" w:cs="Arial" w:ascii="Arial" w:hAnsi="Arial"/>
          <w:i/>
          <w:iCs/>
          <w:color w:val="000000"/>
          <w:sz w:val="24"/>
          <w:szCs w:val="24"/>
        </w:rPr>
        <w:t>Saúde mental na era das bets: da aposta recreativa ao transtorno do jogo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”, são dirigidas a servidores e magistrados ativos e inativos, estagiários e trabalhadores terceirizados. </w:t>
      </w:r>
    </w:p>
    <w:p>
      <w:pPr>
        <w:pStyle w:val="Normal"/>
        <w:widowControl w:val="false"/>
        <w:spacing w:lineRule="auto" w:line="240" w:before="0" w:after="0"/>
        <w:ind w:left="0" w:firstLine="72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88" w:before="0" w:after="0"/>
        <w:ind w:left="720" w:right="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Incrementar modelo de gestão de pessoas em âmbito nacional.</w:t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30">
            <wp:simplePos x="0" y="0"/>
            <wp:positionH relativeFrom="column">
              <wp:posOffset>315595</wp:posOffset>
            </wp:positionH>
            <wp:positionV relativeFrom="paragraph">
              <wp:posOffset>231140</wp:posOffset>
            </wp:positionV>
            <wp:extent cx="5591175" cy="944880"/>
            <wp:effectExtent l="0" t="0" r="0" b="0"/>
            <wp:wrapNone/>
            <wp:docPr id="15" name="image1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7.png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8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</w:rPr>
        <w:t>AUMENTAR O ÍNDICE DE PROMOÇÃO DA EQUIDADE RACIAL (IPERJT) EM 5% EM RELAÇÃO AO DESEMPENHO DE 2025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 (Meta TRT-RS: 64%, considerado o desempenho anterior).</w:t>
      </w:r>
    </w:p>
    <w:p>
      <w:pPr>
        <w:pStyle w:val="Normal"/>
        <w:numPr>
          <w:ilvl w:val="0"/>
          <w:numId w:val="9"/>
        </w:numPr>
        <w:spacing w:lineRule="auto" w:line="276" w:before="60" w:after="60"/>
        <w:ind w:left="720" w:right="-14" w:hanging="360"/>
        <w:jc w:val="both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 xml:space="preserve">Cláusula de Barreira: 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alcançar, no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mínimo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,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50%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da pontuação geral do IPERJT.</w:t>
      </w:r>
    </w:p>
    <w:p>
      <w:pPr>
        <w:pStyle w:val="Normal"/>
        <w:spacing w:lineRule="auto" w:line="276" w:before="60" w:after="60"/>
        <w:ind w:left="0" w:right="-14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20" w:right="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Incrementar modelo de gestão de pessoas em âmbito nacional.</w:t>
      </w:r>
    </w:p>
    <w:p>
      <w:pPr>
        <w:pStyle w:val="Normal"/>
        <w:spacing w:lineRule="auto" w:line="276" w:before="60" w:after="60"/>
        <w:ind w:left="720" w:right="-14" w:hanging="0"/>
        <w:jc w:val="both"/>
        <w:rPr>
          <w:rFonts w:ascii="Arial" w:hAnsi="Arial" w:eastAsia="Arial" w:cs="Arial"/>
          <w:b/>
          <w:b/>
          <w:bCs/>
          <w:color w:val="013250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RESULTADO TRT-RS:</w:t>
      </w:r>
    </w:p>
    <w:p>
      <w:pPr>
        <w:pStyle w:val="Normal"/>
        <w:numPr>
          <w:ilvl w:val="0"/>
          <w:numId w:val="1"/>
        </w:numPr>
        <w:spacing w:lineRule="auto" w:line="276" w:before="60" w:after="60"/>
        <w:ind w:left="708" w:hanging="360"/>
        <w:jc w:val="both"/>
        <w:rPr/>
      </w:pPr>
      <w:r>
        <w:rPr>
          <w:rFonts w:eastAsia="Arial" w:cs="Arial" w:ascii="Arial" w:hAnsi="Arial"/>
          <w:color w:val="000000"/>
          <w:sz w:val="24"/>
          <w:szCs w:val="24"/>
        </w:rPr>
        <w:t xml:space="preserve">O índice ainda não foi apurado pelo CNJ. No entanto, já foi publicada a </w:t>
      </w:r>
      <w:hyperlink r:id="rId20">
        <w:r>
          <w:rPr>
            <w:rStyle w:val="LinkdaInternet"/>
            <w:rFonts w:eastAsia="Arial" w:cs="Arial" w:ascii="Arial" w:hAnsi="Arial"/>
            <w:color w:val="1155CC"/>
            <w:sz w:val="24"/>
            <w:szCs w:val="24"/>
            <w:u w:val="single"/>
          </w:rPr>
          <w:t>Portaria Presidência nº 238 de 01 de Junho de 2026</w:t>
        </w:r>
      </w:hyperlink>
      <w:r>
        <w:rPr>
          <w:rFonts w:eastAsia="Arial" w:cs="Arial" w:ascii="Arial" w:hAnsi="Arial"/>
          <w:color w:val="000000"/>
          <w:sz w:val="24"/>
          <w:szCs w:val="24"/>
        </w:rPr>
        <w:t xml:space="preserve">, do CNJ, que regulamenta o IPER para o ano de 2026. </w:t>
      </w:r>
    </w:p>
    <w:p>
      <w:pPr>
        <w:pStyle w:val="Normal"/>
        <w:spacing w:lineRule="auto" w:line="276" w:before="60" w:after="60"/>
        <w:ind w:left="0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720" w:hanging="0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29">
            <wp:simplePos x="0" y="0"/>
            <wp:positionH relativeFrom="column">
              <wp:posOffset>158750</wp:posOffset>
            </wp:positionH>
            <wp:positionV relativeFrom="paragraph">
              <wp:posOffset>114300</wp:posOffset>
            </wp:positionV>
            <wp:extent cx="5648325" cy="862965"/>
            <wp:effectExtent l="0" t="0" r="0" b="0"/>
            <wp:wrapNone/>
            <wp:docPr id="16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76" w:before="60" w:after="60"/>
        <w:ind w:left="0" w:right="4" w:hanging="0"/>
        <w:jc w:val="both"/>
        <w:rPr>
          <w:rFonts w:ascii="Arial" w:hAnsi="Arial" w:eastAsia="Arial" w:cs="Arial"/>
          <w:b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</w:rPr>
        <w:t xml:space="preserve">AUMENTAR O ÍNDICE DE EXECUÇÕES EXTINTAS POR SATISFAÇÃO DA OBRIGAÇÃO EM 0,5 PONTO PERCENTUAL EM RELAÇÃO À MÉDIA DO BIÊNIO ANTERIOR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(Meta TRT-RS: 85,96%, considerada a média do biênio anterior).</w:t>
      </w:r>
    </w:p>
    <w:p>
      <w:pPr>
        <w:pStyle w:val="Normal"/>
        <w:numPr>
          <w:ilvl w:val="0"/>
          <w:numId w:val="9"/>
        </w:numPr>
        <w:spacing w:lineRule="auto" w:line="276" w:before="60" w:after="60"/>
        <w:ind w:left="720" w:right="-14" w:hanging="360"/>
        <w:jc w:val="both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Cláusula de Barreira:</w:t>
      </w:r>
      <w:r>
        <w:rPr>
          <w:rFonts w:eastAsia="Arial" w:cs="Arial" w:ascii="Arial" w:hAnsi="Arial"/>
          <w:color w:val="013250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alcançar,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no mínimo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,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80%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de execuções extintas por esse fundamento, excluídas as execuções fiscais.</w:t>
      </w:r>
    </w:p>
    <w:p>
      <w:pPr>
        <w:pStyle w:val="Normal"/>
        <w:spacing w:lineRule="auto" w:line="276" w:before="60" w:after="60"/>
        <w:ind w:left="720" w:right="-14" w:hanging="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20" w:right="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Garantir a duração razoável do processo.</w:t>
      </w:r>
    </w:p>
    <w:p>
      <w:pPr>
        <w:pStyle w:val="Normal"/>
        <w:spacing w:lineRule="auto" w:line="240" w:before="0" w:after="0"/>
        <w:ind w:left="720" w:right="4" w:hanging="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RESULTADO TRT-RS:</w:t>
      </w:r>
    </w:p>
    <w:p>
      <w:pPr>
        <w:pStyle w:val="Normal"/>
        <w:ind w:left="0" w:hanging="0"/>
        <w:rPr>
          <w:rFonts w:ascii="Arial" w:hAnsi="Arial" w:eastAsia="Arial" w:cs="Arial"/>
          <w:b/>
          <w:b/>
          <w:bCs/>
          <w:color w:val="C31F5A"/>
          <w:sz w:val="2"/>
          <w:szCs w:val="2"/>
          <w:highlight w:val="yellow"/>
        </w:rPr>
      </w:pPr>
      <w:r>
        <w:rPr>
          <w:rFonts w:eastAsia="Arial" w:cs="Arial" w:ascii="Arial" w:hAnsi="Arial"/>
          <w:b/>
          <w:bCs/>
          <w:color w:val="C31F5A"/>
          <w:sz w:val="2"/>
          <w:szCs w:val="2"/>
          <w:highlight w:val="yellow"/>
        </w:rPr>
      </w:r>
    </w:p>
    <w:tbl>
      <w:tblPr>
        <w:tblStyle w:val="Table10"/>
        <w:tblW w:w="9150" w:type="dxa"/>
        <w:jc w:val="left"/>
        <w:tblInd w:w="-94" w:type="dxa"/>
        <w:tblBorders>
          <w:top w:val="single" w:sz="8" w:space="0" w:color="BDC1C6"/>
          <w:bottom w:val="single" w:sz="8" w:space="0" w:color="BDC1C6"/>
          <w:right w:val="single" w:sz="8" w:space="0" w:color="BDC1C6"/>
          <w:insideH w:val="single" w:sz="8" w:space="0" w:color="BDC1C6"/>
          <w:insideV w:val="single" w:sz="8" w:space="0" w:color="BDC1C6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79"/>
        <w:gridCol w:w="1050"/>
        <w:gridCol w:w="1170"/>
        <w:gridCol w:w="1695"/>
        <w:gridCol w:w="2206"/>
        <w:gridCol w:w="1949"/>
      </w:tblGrid>
      <w:tr>
        <w:trPr>
          <w:tblHeader w:val="true"/>
        </w:trPr>
        <w:tc>
          <w:tcPr>
            <w:tcW w:w="1079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03A5E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</w:r>
          </w:p>
        </w:tc>
        <w:tc>
          <w:tcPr>
            <w:tcW w:w="10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03A5E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  <w:t>IEESO</w:t>
            </w:r>
          </w:p>
        </w:tc>
        <w:tc>
          <w:tcPr>
            <w:tcW w:w="117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03A5E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Meta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03A5E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Cumprimento da Meta</w:t>
            </w:r>
          </w:p>
        </w:tc>
        <w:tc>
          <w:tcPr>
            <w:tcW w:w="220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03A5E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Execuções Extintas por Satisfação de Obrigação</w:t>
            </w:r>
          </w:p>
        </w:tc>
        <w:tc>
          <w:tcPr>
            <w:tcW w:w="194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003A5E" w:val="clear"/>
            <w:tcMar>
              <w:left w:w="90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FFFFFF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</w:rPr>
              <w:t>Total de Execuções Extintas</w:t>
            </w:r>
          </w:p>
        </w:tc>
      </w:tr>
      <w:tr>
        <w:trPr/>
        <w:tc>
          <w:tcPr>
            <w:tcW w:w="1079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003A5E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FFFFFF"/>
              </w:rPr>
            </w:pPr>
            <w:r>
              <w:rPr>
                <w:rFonts w:eastAsia="Arial" w:cs="Arial" w:ascii="Arial" w:hAnsi="Arial"/>
                <w:color w:val="FFFFFF"/>
              </w:rPr>
              <w:t>TRT-RS</w:t>
            </w:r>
          </w:p>
        </w:tc>
        <w:tc>
          <w:tcPr>
            <w:tcW w:w="1050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90,55%</w:t>
            </w:r>
          </w:p>
        </w:tc>
        <w:tc>
          <w:tcPr>
            <w:tcW w:w="117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85,96%</w:t>
            </w:r>
          </w:p>
        </w:tc>
        <w:tc>
          <w:tcPr>
            <w:tcW w:w="1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105,35%</w:t>
            </w:r>
          </w:p>
        </w:tc>
        <w:tc>
          <w:tcPr>
            <w:tcW w:w="2206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43.594</w:t>
            </w:r>
          </w:p>
        </w:tc>
        <w:tc>
          <w:tcPr>
            <w:tcW w:w="1949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48.141</w:t>
            </w:r>
          </w:p>
        </w:tc>
      </w:tr>
    </w:tbl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  <w:drawing>
          <wp:anchor behindDoc="1" distT="114300" distB="114300" distL="114300" distR="114300" simplePos="0" locked="0" layoutInCell="1" allowOverlap="1" relativeHeight="28">
            <wp:simplePos x="0" y="0"/>
            <wp:positionH relativeFrom="column">
              <wp:posOffset>990600</wp:posOffset>
            </wp:positionH>
            <wp:positionV relativeFrom="paragraph">
              <wp:posOffset>245745</wp:posOffset>
            </wp:positionV>
            <wp:extent cx="3619500" cy="2206625"/>
            <wp:effectExtent l="0" t="0" r="0" b="0"/>
            <wp:wrapNone/>
            <wp:docPr id="17" name="image1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8" w:hanging="0"/>
        <w:jc w:val="center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Arial" w:hAnsi="Arial" w:eastAsia="Arial" w:cs="Arial"/>
          <w:b/>
          <w:b/>
          <w:bCs/>
          <w:color w:val="013250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27">
            <wp:simplePos x="0" y="0"/>
            <wp:positionH relativeFrom="column">
              <wp:posOffset>147320</wp:posOffset>
            </wp:positionH>
            <wp:positionV relativeFrom="paragraph">
              <wp:posOffset>114300</wp:posOffset>
            </wp:positionV>
            <wp:extent cx="5648325" cy="800100"/>
            <wp:effectExtent l="0" t="0" r="0" b="0"/>
            <wp:wrapNone/>
            <wp:docPr id="18" name="image1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Arial" w:hAnsi="Arial" w:eastAsia="Arial" w:cs="Arial"/>
          <w:b/>
          <w:b/>
          <w:bCs/>
          <w:color w:val="013250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20" w:right="-14" w:hanging="0"/>
        <w:jc w:val="both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0" w:right="-14" w:hanging="0"/>
        <w:jc w:val="both"/>
        <w:rPr>
          <w:rFonts w:ascii="Arial" w:hAnsi="Arial" w:eastAsia="Arial" w:cs="Arial"/>
          <w:b/>
          <w:b/>
          <w:bCs/>
          <w:color w:val="013250"/>
          <w:sz w:val="30"/>
          <w:szCs w:val="30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30"/>
          <w:szCs w:val="30"/>
          <w:highlight w:val="yellow"/>
        </w:rPr>
      </w:r>
    </w:p>
    <w:p>
      <w:pPr>
        <w:pStyle w:val="Normal"/>
        <w:spacing w:lineRule="auto" w:line="240" w:before="0" w:after="0"/>
        <w:ind w:left="0" w:right="191" w:hanging="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hanging="0"/>
        <w:rPr>
          <w:rFonts w:ascii="Arial" w:hAnsi="Arial" w:eastAsia="Arial" w:cs="Arial"/>
          <w:b/>
          <w:b/>
          <w:bCs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  <w:highlight w:val="yellow"/>
        </w:rPr>
      </w:r>
    </w:p>
    <w:tbl>
      <w:tblPr>
        <w:tblStyle w:val="Table11"/>
        <w:tblW w:w="9052" w:type="dxa"/>
        <w:jc w:val="left"/>
        <w:tblInd w:w="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9052"/>
      </w:tblGrid>
      <w:tr>
        <w:trPr>
          <w:trHeight w:val="440" w:hRule="atLeast"/>
        </w:trPr>
        <w:tc>
          <w:tcPr>
            <w:tcW w:w="90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  <w:shd w:fill="CFE2F3" w:val="clear"/>
            <w:tcMar>
              <w:left w:w="90" w:type="dxa"/>
            </w:tcMar>
          </w:tcPr>
          <w:p>
            <w:pPr>
              <w:pStyle w:val="Normal"/>
              <w:spacing w:lineRule="auto" w:line="276" w:before="0" w:after="0"/>
              <w:ind w:left="0" w:right="-14" w:hanging="0"/>
              <w:jc w:val="both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Implantar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, em cada estado,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 xml:space="preserve">Comitê Executivo Estadual 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composto por representantes de cada um dos ramos do Poder Judiciário, conforme previsto no art. 7º da Resolução CNJ nº 350/2020. </w:t>
            </w:r>
          </w:p>
        </w:tc>
      </w:tr>
    </w:tbl>
    <w:p>
      <w:pPr>
        <w:pStyle w:val="Normal"/>
        <w:spacing w:lineRule="auto" w:line="240" w:before="400" w:after="200"/>
        <w:ind w:left="0" w:right="4" w:hanging="0"/>
        <w:rPr>
          <w:rFonts w:ascii="Arial" w:hAnsi="Arial" w:eastAsia="Arial" w:cs="Arial"/>
          <w:b/>
          <w:b/>
          <w:bCs/>
          <w:color w:val="02324F"/>
          <w:sz w:val="24"/>
          <w:szCs w:val="24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</w:rPr>
        <w:t>RESULTADO TRT-RS:</w:t>
      </w:r>
    </w:p>
    <w:p>
      <w:pPr>
        <w:pStyle w:val="Normal"/>
        <w:spacing w:lineRule="auto" w:line="276" w:before="0" w:after="0"/>
        <w:ind w:left="0" w:right="-14" w:firstLine="720"/>
        <w:jc w:val="both"/>
        <w:rPr/>
      </w:pPr>
      <w:r>
        <w:rPr>
          <w:rFonts w:eastAsia="Arial" w:cs="Arial" w:ascii="Arial" w:hAnsi="Arial"/>
          <w:color w:val="000000"/>
          <w:sz w:val="24"/>
          <w:szCs w:val="24"/>
        </w:rPr>
        <w:t xml:space="preserve">Em novembro de 2023, foi criada a Rede Sul de Cooperação Judiciária, que reúne o TRT-RS, o TRT-SC, o TJRS, TRF4, TRE, TJMRS, TJSC, TJPR e a 1ª, 2ª e 3ª Auditorias militares da 3ª Circunscrição Judiciária Militar, dando-se atendimento ao contido no art. 7º da </w:t>
      </w:r>
      <w:hyperlink r:id="rId24">
        <w:r>
          <w:rPr>
            <w:rStyle w:val="LinkdaInternet"/>
            <w:rFonts w:eastAsia="Arial" w:cs="Arial" w:ascii="Arial" w:hAnsi="Arial"/>
            <w:color w:val="1155CC"/>
            <w:sz w:val="24"/>
            <w:szCs w:val="24"/>
            <w:u w:val="single"/>
          </w:rPr>
          <w:t>Resolução CNJ 350/2020</w:t>
        </w:r>
      </w:hyperlink>
      <w:r>
        <w:rPr>
          <w:rFonts w:eastAsia="Arial" w:cs="Arial" w:ascii="Arial" w:hAnsi="Arial"/>
          <w:color w:val="000000"/>
          <w:sz w:val="24"/>
          <w:szCs w:val="24"/>
        </w:rPr>
        <w:t xml:space="preserve">. </w:t>
      </w:r>
    </w:p>
    <w:p>
      <w:pPr>
        <w:pStyle w:val="Normal"/>
        <w:spacing w:lineRule="auto" w:line="276" w:before="0" w:after="0"/>
        <w:ind w:left="0" w:right="-14" w:firstLine="72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tbl>
      <w:tblPr>
        <w:tblStyle w:val="Table12"/>
        <w:tblW w:w="9060" w:type="dxa"/>
        <w:jc w:val="lef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9060"/>
      </w:tblGrid>
      <w:tr>
        <w:trPr/>
        <w:tc>
          <w:tcPr>
            <w:tcW w:w="9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  <w:shd w:fill="CFE2F3" w:val="clear"/>
            <w:tcMar>
              <w:left w:w="90" w:type="dxa"/>
            </w:tcMar>
          </w:tcPr>
          <w:p>
            <w:pPr>
              <w:pStyle w:val="Normal"/>
              <w:spacing w:lineRule="auto" w:line="276" w:before="0" w:after="0"/>
              <w:ind w:left="0" w:right="-14" w:hanging="0"/>
              <w:jc w:val="both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Celebrar pelo menos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1 (um) acordo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com instituições parceiras para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prevenção e a resolução consensual de litígios.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spacing w:lineRule="auto" w:line="240" w:before="400" w:after="200"/>
        <w:ind w:left="0" w:right="4" w:hanging="0"/>
        <w:rPr>
          <w:rFonts w:ascii="Arial" w:hAnsi="Arial" w:eastAsia="Arial" w:cs="Arial"/>
          <w:b/>
          <w:b/>
          <w:bCs/>
          <w:color w:val="02324F"/>
          <w:sz w:val="24"/>
          <w:szCs w:val="24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</w:rPr>
        <w:t>RESULTADO TRT-RS:</w:t>
      </w:r>
    </w:p>
    <w:p>
      <w:pPr>
        <w:pStyle w:val="Normal"/>
        <w:spacing w:lineRule="auto" w:line="240" w:before="400" w:after="200"/>
        <w:ind w:left="0" w:right="4" w:firstLine="72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Estão vigentes os seguintes Acordos de Cooperação Técnica (ACTs):</w:t>
      </w:r>
    </w:p>
    <w:tbl>
      <w:tblPr>
        <w:tblStyle w:val="Table13"/>
        <w:tblW w:w="9390" w:type="dxa"/>
        <w:jc w:val="left"/>
        <w:tblInd w:w="-15" w:type="dxa"/>
        <w:tblBorders>
          <w:top w:val="single" w:sz="8" w:space="0" w:color="BDC1C6"/>
          <w:bottom w:val="single" w:sz="8" w:space="0" w:color="BDC1C6"/>
          <w:right w:val="single" w:sz="8" w:space="0" w:color="BDC1C6"/>
          <w:insideH w:val="single" w:sz="8" w:space="0" w:color="BDC1C6"/>
          <w:insideV w:val="single" w:sz="8" w:space="0" w:color="BDC1C6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634"/>
        <w:gridCol w:w="1545"/>
        <w:gridCol w:w="4695"/>
        <w:gridCol w:w="1515"/>
      </w:tblGrid>
      <w:tr>
        <w:trPr>
          <w:tblHeader w:val="true"/>
        </w:trPr>
        <w:tc>
          <w:tcPr>
            <w:tcW w:w="1634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EFEFE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Acordo de Cooperação</w:t>
            </w:r>
          </w:p>
        </w:tc>
        <w:tc>
          <w:tcPr>
            <w:tcW w:w="1545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EFEFE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Órgãos signatários</w:t>
            </w:r>
          </w:p>
        </w:tc>
        <w:tc>
          <w:tcPr>
            <w:tcW w:w="4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EFEFEF" w:val="clear"/>
            <w:tcMar>
              <w:left w:w="9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Objetivo</w:t>
            </w:r>
          </w:p>
        </w:tc>
        <w:tc>
          <w:tcPr>
            <w:tcW w:w="151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EFEFEF" w:val="clear"/>
            <w:tcMar>
              <w:left w:w="9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Vigência</w:t>
            </w:r>
          </w:p>
        </w:tc>
      </w:tr>
      <w:tr>
        <w:trPr/>
        <w:tc>
          <w:tcPr>
            <w:tcW w:w="1634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EFEFEF" w:val="clear"/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ACT nº 13/2023</w:t>
            </w:r>
          </w:p>
        </w:tc>
        <w:tc>
          <w:tcPr>
            <w:tcW w:w="1545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TRT-RS e AGU-PRU4</w:t>
            </w:r>
          </w:p>
        </w:tc>
        <w:tc>
          <w:tcPr>
            <w:tcW w:w="4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Reduzir a litigiosidade e racionalizar os processos relativos à responsabilidade subsidiária da União em casos de inadimplemento trabalhista na terceirização de serviços.</w:t>
            </w:r>
          </w:p>
        </w:tc>
        <w:tc>
          <w:tcPr>
            <w:tcW w:w="151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10.04.2023 a 30.03.2028</w:t>
            </w:r>
          </w:p>
        </w:tc>
      </w:tr>
      <w:tr>
        <w:trPr/>
        <w:tc>
          <w:tcPr>
            <w:tcW w:w="1634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EFEFEF" w:val="clear"/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ACT nº 67/2024</w:t>
            </w:r>
          </w:p>
        </w:tc>
        <w:tc>
          <w:tcPr>
            <w:tcW w:w="15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  <w:t>TRT-RS e  Petrobrás</w:t>
            </w:r>
          </w:p>
        </w:tc>
        <w:tc>
          <w:tcPr>
            <w:tcW w:w="4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Reduzir a litigiosidade, racionalizar os processos e adotar uma rotina conciliatória.</w:t>
            </w:r>
          </w:p>
        </w:tc>
        <w:tc>
          <w:tcPr>
            <w:tcW w:w="151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26.08.2024 a 26.08.2029</w:t>
            </w:r>
          </w:p>
        </w:tc>
      </w:tr>
      <w:tr>
        <w:trPr/>
        <w:tc>
          <w:tcPr>
            <w:tcW w:w="1634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EFEFEF" w:val="clear"/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  <w:b/>
                <w:b/>
                <w:bCs/>
                <w:color w:val="000000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ACT nº 63/2025</w:t>
            </w:r>
          </w:p>
        </w:tc>
        <w:tc>
          <w:tcPr>
            <w:tcW w:w="1545" w:type="dxa"/>
            <w:tcBorders>
              <w:top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TRT-RS e  Banco Santander</w:t>
            </w:r>
          </w:p>
        </w:tc>
        <w:tc>
          <w:tcPr>
            <w:tcW w:w="469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  <w:insideH w:val="single" w:sz="8" w:space="0" w:color="BDC1C6"/>
              <w:insideV w:val="single" w:sz="8" w:space="0" w:color="BDC1C6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Promover a redução da litigiosidade.</w:t>
            </w:r>
          </w:p>
        </w:tc>
        <w:tc>
          <w:tcPr>
            <w:tcW w:w="151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insideH w:val="single" w:sz="8" w:space="0" w:color="BDC1C6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0"/>
              <w:ind w:lef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color w:val="000000"/>
              </w:rPr>
              <w:t>26.05.2025 a 26.05.2030</w:t>
            </w:r>
          </w:p>
        </w:tc>
      </w:tr>
    </w:tbl>
    <w:p>
      <w:pPr>
        <w:pStyle w:val="Normal"/>
        <w:spacing w:lineRule="auto" w:line="276" w:before="0" w:after="0"/>
        <w:ind w:left="0" w:right="-14" w:firstLine="720"/>
        <w:jc w:val="both"/>
        <w:rPr>
          <w:rFonts w:ascii="Arial" w:hAnsi="Arial" w:eastAsia="Arial" w:cs="Arial"/>
          <w:color w:val="000000"/>
          <w:sz w:val="24"/>
          <w:szCs w:val="24"/>
          <w:highlight w:val="yellow"/>
        </w:rPr>
      </w:pPr>
      <w:r>
        <w:rPr>
          <w:rFonts w:eastAsia="Arial" w:cs="Arial" w:ascii="Arial" w:hAnsi="Arial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20" w:right="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Assegurar o tratamento adequado dos conflitos trabalhistas.</w:t>
      </w:r>
    </w:p>
    <w:p>
      <w:pPr>
        <w:pStyle w:val="Normal"/>
        <w:spacing w:lineRule="auto" w:line="288" w:before="600" w:after="20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  <w:drawing>
          <wp:anchor behindDoc="0" distT="114300" distB="114300" distL="114300" distR="114300" simplePos="0" locked="0" layoutInCell="1" allowOverlap="1" relativeHeight="26">
            <wp:simplePos x="0" y="0"/>
            <wp:positionH relativeFrom="column">
              <wp:posOffset>219075</wp:posOffset>
            </wp:positionH>
            <wp:positionV relativeFrom="paragraph">
              <wp:posOffset>217805</wp:posOffset>
            </wp:positionV>
            <wp:extent cx="5514340" cy="800100"/>
            <wp:effectExtent l="0" t="0" r="0" b="0"/>
            <wp:wrapNone/>
            <wp:docPr id="19" name="image1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3.png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88" w:before="600" w:after="20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88" w:before="600" w:after="200"/>
        <w:ind w:left="0" w:right="4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</w:rPr>
        <w:t xml:space="preserve">PROMOVER OS DIREITOS DA CRIANÇA E DO ADOLESCENTE: </w:t>
      </w:r>
    </w:p>
    <w:p>
      <w:pPr>
        <w:pStyle w:val="Normal"/>
        <w:numPr>
          <w:ilvl w:val="0"/>
          <w:numId w:val="7"/>
        </w:numPr>
        <w:spacing w:lineRule="auto" w:line="288" w:before="400" w:after="200"/>
        <w:ind w:left="720" w:right="-1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Promover, no âmbito do Programa de Combate ao Trabalho Infantil e Estímulo à Aprendizagem, pelo menos uma ação atinente ao programa, por meio do estabelecimento de parcerias interinstitucionais. </w:t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  <w:highlight w:val="yellow"/>
        </w:rPr>
      </w:r>
    </w:p>
    <w:p>
      <w:pPr>
        <w:pStyle w:val="Normal"/>
        <w:spacing w:lineRule="auto" w:line="240" w:before="200" w:after="200"/>
        <w:ind w:left="0" w:hanging="0"/>
        <w:rPr>
          <w:rFonts w:ascii="Arial" w:hAnsi="Arial" w:eastAsia="Arial" w:cs="Arial"/>
          <w:b/>
          <w:b/>
          <w:bCs/>
          <w:color w:val="013250"/>
          <w:sz w:val="24"/>
          <w:szCs w:val="24"/>
        </w:rPr>
      </w:pPr>
      <w:r>
        <w:rPr>
          <w:rFonts w:eastAsia="Arial" w:cs="Arial" w:ascii="Arial" w:hAnsi="Arial"/>
          <w:b/>
          <w:bCs/>
          <w:color w:val="013250"/>
          <w:sz w:val="24"/>
          <w:szCs w:val="24"/>
        </w:rPr>
        <w:t>OBJETIVO ESTRATÉGICO: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720" w:right="4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Promover o trabalho decente e a sustentabilidade.</w:t>
      </w:r>
    </w:p>
    <w:p>
      <w:pPr>
        <w:pStyle w:val="Normal"/>
        <w:spacing w:lineRule="auto" w:line="333" w:before="600" w:after="200"/>
        <w:ind w:left="0" w:hanging="0"/>
        <w:rPr>
          <w:rFonts w:ascii="Arial" w:hAnsi="Arial" w:eastAsia="Arial" w:cs="Arial"/>
          <w:b/>
          <w:b/>
          <w:bCs/>
          <w:color w:val="02324F"/>
          <w:sz w:val="24"/>
          <w:szCs w:val="24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</w:rPr>
        <w:t>RESULTADO TRT-RS:</w:t>
      </w:r>
    </w:p>
    <w:p>
      <w:pPr>
        <w:pStyle w:val="Normal"/>
        <w:spacing w:lineRule="auto" w:line="276" w:before="60" w:after="60"/>
        <w:ind w:left="1275" w:hanging="566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Há duas iniciativas: </w:t>
      </w:r>
    </w:p>
    <w:p>
      <w:pPr>
        <w:pStyle w:val="Normal"/>
        <w:numPr>
          <w:ilvl w:val="0"/>
          <w:numId w:val="8"/>
        </w:numPr>
        <w:spacing w:lineRule="auto" w:line="276" w:before="60" w:after="60"/>
        <w:ind w:left="992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4"/>
          <w:szCs w:val="24"/>
        </w:rPr>
        <w:t>"Geração Consciente - Semana Contra o Trabalho Infantil"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- integralmente cumprida, conforme demonstram as publicações:</w:t>
      </w:r>
    </w:p>
    <w:p>
      <w:pPr>
        <w:pStyle w:val="Normal"/>
        <w:numPr>
          <w:ilvl w:val="0"/>
          <w:numId w:val="2"/>
        </w:numPr>
        <w:spacing w:lineRule="auto" w:line="276" w:before="60" w:afterAutospacing="0" w:after="0"/>
        <w:ind w:left="1700" w:hanging="360"/>
        <w:jc w:val="both"/>
        <w:rPr/>
      </w:pPr>
      <w:hyperlink r:id="rId26">
        <w:r>
          <w:rPr>
            <w:rStyle w:val="LinkdaInternet"/>
            <w:rFonts w:eastAsia="Arial" w:cs="Arial" w:ascii="Arial" w:hAnsi="Arial"/>
            <w:color w:val="1155CC"/>
            <w:sz w:val="24"/>
            <w:szCs w:val="24"/>
            <w:u w:val="single"/>
          </w:rPr>
          <w:t>O Futuro é Jovem: alunos da rede pública federal participam de quiz no TRT-RS</w:t>
        </w:r>
      </w:hyperlink>
      <w:r>
        <w:rPr>
          <w:rFonts w:eastAsia="Arial" w:cs="Arial" w:ascii="Arial" w:hAnsi="Arial"/>
          <w:color w:val="000000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76" w:beforeAutospacing="0" w:before="0" w:after="60"/>
        <w:ind w:left="1700" w:hanging="360"/>
        <w:jc w:val="both"/>
        <w:rPr/>
      </w:pPr>
      <w:hyperlink r:id="rId27">
        <w:r>
          <w:rPr>
            <w:rStyle w:val="LinkdaInternet"/>
            <w:rFonts w:eastAsia="Arial" w:cs="Arial" w:ascii="Arial" w:hAnsi="Arial"/>
            <w:color w:val="1155CC"/>
            <w:sz w:val="24"/>
            <w:szCs w:val="24"/>
            <w:u w:val="single"/>
          </w:rPr>
          <w:t>Livros que abrem mundos: TRT-RS leva bibliotecas de Direitos Humanos a quatro escolas de Porto Alegre</w:t>
        </w:r>
      </w:hyperlink>
      <w:r>
        <w:rPr>
          <w:rFonts w:eastAsia="Arial" w:cs="Arial" w:ascii="Arial" w:hAnsi="Arial"/>
          <w:color w:val="000000"/>
          <w:sz w:val="24"/>
          <w:szCs w:val="24"/>
        </w:rPr>
        <w:t>.</w:t>
      </w:r>
    </w:p>
    <w:p>
      <w:pPr>
        <w:pStyle w:val="Normal"/>
        <w:numPr>
          <w:ilvl w:val="0"/>
          <w:numId w:val="8"/>
        </w:numPr>
        <w:spacing w:lineRule="auto" w:line="276" w:before="60" w:after="200"/>
        <w:ind w:left="992" w:hanging="360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4"/>
          <w:szCs w:val="24"/>
        </w:rPr>
        <w:t>"Feirão de Aprendizagem"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>- encontra-se em fase de planejamento, com realização prevista para o dia 12.11.2026.</w:t>
      </w:r>
    </w:p>
    <w:p>
      <w:pPr>
        <w:pStyle w:val="Normal"/>
        <w:spacing w:lineRule="auto" w:line="288" w:before="0" w:after="60"/>
        <w:ind w:left="720" w:right="191" w:hanging="0"/>
        <w:jc w:val="both"/>
        <w:rPr>
          <w:rFonts w:ascii="Arial" w:hAnsi="Arial" w:eastAsia="Arial" w:cs="Arial"/>
          <w:b/>
          <w:b/>
          <w:bCs/>
          <w:color w:val="02324F"/>
          <w:sz w:val="24"/>
          <w:szCs w:val="24"/>
          <w:highlight w:val="yellow"/>
        </w:rPr>
      </w:pPr>
      <w:r>
        <w:rPr>
          <w:rFonts w:eastAsia="Arial" w:cs="Arial" w:ascii="Arial" w:hAnsi="Arial"/>
          <w:b/>
          <w:bCs/>
          <w:color w:val="02324F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0" w:right="-14" w:hanging="0"/>
        <w:jc w:val="both"/>
        <w:rPr/>
      </w:pPr>
      <w:r>
        <w:rPr/>
      </w:r>
    </w:p>
    <w:sectPr>
      <w:headerReference w:type="default" r:id="rId28"/>
      <w:headerReference w:type="first" r:id="rId29"/>
      <w:footerReference w:type="default" r:id="rId30"/>
      <w:footerReference w:type="first" r:id="rId31"/>
      <w:type w:val="nextPage"/>
      <w:pgSz w:w="11906" w:h="16838"/>
      <w:pgMar w:left="1417" w:right="1429" w:header="566" w:top="623" w:footer="566" w:bottom="623" w:gutter="0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Roboto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Impact">
    <w:charset w:val="00"/>
    <w:family w:val="roman"/>
    <w:pitch w:val="variable"/>
  </w:font>
  <w:font w:name="Nunito">
    <w:charset w:val="00"/>
    <w:family w:val="roman"/>
    <w:pitch w:val="variable"/>
    <w:embedRegular r:id="rId22" w:fontKey="{16014A78-CABC-4EF0-12AC-5CD89AEFDE16}"/>
    <w:embedBold r:id="rId23" w:fontKey="{17014A78-CABC-4EF0-12AC-5CD89AEFDE17}"/>
    <w:embedItalic r:id="rId24" w:fontKey="{18014A78-CABC-4EF0-12AC-5CD89AEFDE18}"/>
    <w:embedBoldItalic r:id="rId25" w:fontKey="{19014A78-CABC-4EF0-12AC-5CD89AEFDE19}"/>
  </w:font>
  <w:font w:name="Arial Unicode MS">
    <w:charset w:val="00"/>
    <w:family w:val="roman"/>
    <w:pitch w:val="variable"/>
  </w:font>
  <w:font w:name="Wingdings">
    <w:charset w:val="02"/>
    <w:family w:val="auto"/>
    <w:pitch w:val="default"/>
    <w:embedRegular r:id="rId26" w:fontKey="{1A014A78-CABC-4EF0-12AC-5CD89AEFDE1A}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  <w:embedRegular r:id="rId27" w:fontKey="{1B014A78-CABC-4EF0-12AC-5CD89AEFDE1B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shd w:val="clear" w:fill="auto"/>
      <w:spacing w:lineRule="auto" w:line="240" w:before="200" w:after="0"/>
      <w:rPr>
        <w:sz w:val="20"/>
        <w:szCs w:val="20"/>
      </w:rPr>
    </w:pPr>
    <w:r>
      <w:rPr>
        <w:sz w:val="20"/>
        <w:szCs w:val="20"/>
      </w:rPr>
    </w:r>
  </w:p>
  <w:p>
    <w:pPr>
      <w:pStyle w:val="Normal"/>
      <w:pBdr/>
      <w:shd w:val="clear" w:fill="auto"/>
      <w:spacing w:lineRule="auto" w:line="240"/>
      <w:rPr>
        <w:sz w:val="20"/>
        <w:szCs w:val="20"/>
      </w:rPr>
    </w:pPr>
    <w:r>
      <w:rPr>
        <w:sz w:val="20"/>
        <w:szCs w:val="20"/>
      </w:rPr>
    </w:r>
  </w:p>
  <w:p>
    <w:pPr>
      <w:pStyle w:val="Normal"/>
      <w:pBdr/>
      <w:shd w:val="clear" w:fill="auto"/>
      <w:spacing w:lineRule="auto" w:line="240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1" allowOverlap="1" relativeHeight="13">
          <wp:simplePos x="0" y="0"/>
          <wp:positionH relativeFrom="column">
            <wp:posOffset>-923925</wp:posOffset>
          </wp:positionH>
          <wp:positionV relativeFrom="paragraph">
            <wp:posOffset>102870</wp:posOffset>
          </wp:positionV>
          <wp:extent cx="7560310" cy="805180"/>
          <wp:effectExtent l="0" t="0" r="0" b="0"/>
          <wp:wrapNone/>
          <wp:docPr id="21" name="image20.png" descr="Gráfico do 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20.png" descr="Gráfico do 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05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pBdr/>
      <w:shd w:val="clear" w:fill="auto"/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  <w:p>
    <w:pPr>
      <w:pStyle w:val="Normal"/>
      <w:pBdr/>
      <w:shd w:val="clear" w:fill="auto"/>
      <w:spacing w:lineRule="auto" w:line="240"/>
      <w:jc w:val="right"/>
      <w:rPr>
        <w:rFonts w:ascii="Arial" w:hAnsi="Arial" w:eastAsia="Arial" w:cs="Arial"/>
        <w:b/>
        <w:b/>
        <w:bCs/>
        <w:color w:val="017F53"/>
        <w:sz w:val="24"/>
        <w:szCs w:val="24"/>
        <w:highlight w:val="yellow"/>
      </w:rPr>
    </w:pPr>
    <w:r>
      <w:rPr>
        <w:rFonts w:eastAsia="Arial" w:cs="Arial" w:ascii="Arial" w:hAnsi="Arial"/>
        <w:b/>
        <w:bCs/>
        <w:color w:val="017F53"/>
        <w:sz w:val="24"/>
        <w:szCs w:val="24"/>
        <w:highlight w:val="yellow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shd w:val="clear" w:fill="auto"/>
      <w:spacing w:lineRule="auto" w:line="240" w:before="200" w:after="0"/>
      <w:ind w:left="-15" w:hanging="0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shd w:val="clear" w:fill="auto"/>
      <w:spacing w:lineRule="auto" w:line="240" w:before="0" w:after="0"/>
      <w:rPr>
        <w:color w:val="E01B84"/>
        <w:sz w:val="18"/>
        <w:szCs w:val="18"/>
      </w:rPr>
    </w:pPr>
    <w:r>
      <w:rPr>
        <w:color w:val="E01B84"/>
        <w:sz w:val="18"/>
        <w:szCs w:val="18"/>
      </w:rPr>
      <w:drawing>
        <wp:anchor behindDoc="1" distT="114300" distB="114300" distL="114300" distR="114300" simplePos="0" locked="0" layoutInCell="1" allowOverlap="1" relativeHeight="25">
          <wp:simplePos x="0" y="0"/>
          <wp:positionH relativeFrom="page">
            <wp:posOffset>6118225</wp:posOffset>
          </wp:positionH>
          <wp:positionV relativeFrom="page">
            <wp:posOffset>19050</wp:posOffset>
          </wp:positionV>
          <wp:extent cx="1495425" cy="533400"/>
          <wp:effectExtent l="0" t="0" r="0" b="0"/>
          <wp:wrapSquare wrapText="bothSides"/>
          <wp:docPr id="20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shd w:val="clear" w:fill="auto"/>
      <w:spacing w:lineRule="auto" w:line="276" w:before="0" w:after="0"/>
      <w:jc w:val="center"/>
      <w:rPr>
        <w:rFonts w:ascii="Arial" w:hAnsi="Arial" w:eastAsia="Arial" w:cs="Arial"/>
        <w:b/>
        <w:b/>
        <w:bCs/>
        <w:color w:val="D9D9D9"/>
      </w:rPr>
    </w:pPr>
    <w:r>
      <w:rPr>
        <w:rFonts w:eastAsia="Arial" w:cs="Arial" w:ascii="Arial" w:hAnsi="Arial"/>
        <w:b/>
        <w:bCs/>
        <w:color w:val="D9D9D9"/>
      </w:rPr>
      <w:t>Tribunal Regional do Trabalho da 4ª Região</w:t>
    </w:r>
  </w:p>
  <w:p>
    <w:pPr>
      <w:pStyle w:val="Normal"/>
      <w:pBdr/>
      <w:shd w:val="clear" w:fill="auto"/>
      <w:spacing w:lineRule="auto" w:line="276" w:before="0" w:after="0"/>
      <w:jc w:val="center"/>
      <w:rPr>
        <w:rFonts w:ascii="Arial" w:hAnsi="Arial" w:eastAsia="Arial" w:cs="Arial"/>
        <w:b/>
        <w:b/>
        <w:bCs/>
        <w:color w:val="D9D9D9"/>
      </w:rPr>
    </w:pPr>
    <w:r>
      <w:rPr>
        <w:rFonts w:eastAsia="Arial" w:cs="Arial" w:ascii="Arial" w:hAnsi="Arial"/>
        <w:b/>
        <w:bCs/>
        <w:color w:val="D9D9D9"/>
      </w:rPr>
      <w:t>Secretaria de Governança e Gestão Estratégica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4"/>
        <w:u w:val="none"/>
        <w:b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2160" w:hanging="360"/>
      </w:pPr>
      <w:rPr>
        <w:sz w:val="24"/>
        <w:u w:val="none"/>
        <w:b/>
        <w:rFonts w:ascii="Arial" w:hAnsi="Arial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4"/>
        <w:u w:val="none"/>
        <w:b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>
    <w:lvl w:ilvl="0">
      <w:start w:val="1"/>
      <w:numFmt w:val="bullet"/>
      <w:lvlText w:val=""/>
      <w:lvlJc w:val="left"/>
      <w:pPr>
        <w:ind w:left="144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9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4"/>
        <w:u w:val="none"/>
        <w:b/>
        <w:szCs w:val="24"/>
        <w:color w:val="000000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0"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4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0"/>
  <w:displayBackgroundShape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color w:val="666666"/>
        <w:sz w:val="22"/>
        <w:szCs w:val="22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pacing w:lineRule="auto" w:line="333" w:before="200" w:after="0"/>
      <w:ind w:left="-15" w:hanging="0"/>
    </w:pPr>
    <w:rPr>
      <w:rFonts w:ascii="Roboto" w:hAnsi="Roboto" w:eastAsia="Roboto" w:cs="Roboto"/>
      <w:color w:val="666666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"/>
    <w:qFormat/>
    <w:pPr>
      <w:pageBreakBefore w:val="false"/>
      <w:spacing w:lineRule="auto" w:line="240" w:before="480" w:after="0"/>
    </w:pPr>
    <w:rPr>
      <w:color w:val="000000"/>
      <w:sz w:val="32"/>
      <w:szCs w:val="32"/>
    </w:rPr>
  </w:style>
  <w:style w:type="paragraph" w:styleId="Ttulo2">
    <w:name w:val="Heading 2"/>
    <w:basedOn w:val="Normal1"/>
    <w:next w:val="Normal"/>
    <w:qFormat/>
    <w:pPr>
      <w:pageBreakBefore w:val="false"/>
      <w:spacing w:lineRule="auto" w:line="240" w:before="320" w:after="0"/>
      <w:ind w:left="720" w:hanging="360"/>
    </w:pPr>
    <w:rPr>
      <w:color w:val="000000"/>
      <w:sz w:val="24"/>
      <w:szCs w:val="24"/>
    </w:rPr>
  </w:style>
  <w:style w:type="paragraph" w:styleId="Ttulo3">
    <w:name w:val="Heading 3"/>
    <w:basedOn w:val="Normal1"/>
    <w:next w:val="Normal"/>
    <w:qFormat/>
    <w:pPr>
      <w:pageBreakBefore w:val="false"/>
      <w:spacing w:lineRule="auto" w:line="240"/>
    </w:pPr>
    <w:rPr>
      <w:b/>
      <w:bCs/>
      <w:color w:val="E01B84"/>
      <w:sz w:val="24"/>
      <w:szCs w:val="24"/>
    </w:rPr>
  </w:style>
  <w:style w:type="paragraph" w:styleId="Ttulo4">
    <w:name w:val="Heading 4"/>
    <w:basedOn w:val="Normal1"/>
    <w:next w:val="Normal"/>
    <w:qFormat/>
    <w:pPr>
      <w:keepNext w:val="true"/>
      <w:keepLines/>
      <w:pageBreakBefore w:val="false"/>
      <w:spacing w:lineRule="auto" w:line="240" w:before="0" w:after="0"/>
    </w:pPr>
    <w:rPr>
      <w:b/>
      <w:bCs/>
      <w:color w:val="6D64E8"/>
      <w:sz w:val="40"/>
      <w:szCs w:val="40"/>
    </w:rPr>
  </w:style>
  <w:style w:type="paragraph" w:styleId="Ttulo5">
    <w:name w:val="Heading 5"/>
    <w:basedOn w:val="Normal1"/>
    <w:next w:val="Normal"/>
    <w:qFormat/>
    <w:pPr>
      <w:keepNext w:val="true"/>
      <w:keepLines/>
      <w:pageBreakBefore w:val="false"/>
      <w:spacing w:lineRule="auto" w:line="240" w:before="160" w:after="0"/>
    </w:pPr>
    <w:rPr>
      <w:rFonts w:ascii="Trebuchet MS" w:hAnsi="Trebuchet MS" w:eastAsia="Trebuchet MS" w:cs="Trebuchet MS"/>
      <w:color w:val="666666"/>
      <w:sz w:val="22"/>
      <w:szCs w:val="22"/>
    </w:rPr>
  </w:style>
  <w:style w:type="paragraph" w:styleId="Ttulo6">
    <w:name w:val="Heading 6"/>
    <w:basedOn w:val="Normal1"/>
    <w:next w:val="Normal"/>
    <w:qFormat/>
    <w:pPr>
      <w:keepNext w:val="true"/>
      <w:keepLines/>
      <w:pageBreakBefore w:val="false"/>
      <w:spacing w:lineRule="auto" w:line="240" w:before="160" w:after="0"/>
    </w:pPr>
    <w:rPr>
      <w:rFonts w:ascii="Trebuchet MS" w:hAnsi="Trebuchet MS" w:eastAsia="Trebuchet MS" w:cs="Trebuchet MS"/>
      <w:i/>
      <w:iCs/>
      <w:color w:val="666666"/>
      <w:sz w:val="22"/>
      <w:szCs w:val="22"/>
    </w:rPr>
  </w:style>
  <w:style w:type="character" w:styleId="ListLabel1">
    <w:name w:val="ListLabel 1"/>
    <w:qFormat/>
    <w:rPr>
      <w:rFonts w:ascii="Arial" w:hAnsi="Arial"/>
      <w:sz w:val="24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rFonts w:ascii="Arial" w:hAnsi="Arial"/>
      <w:sz w:val="24"/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character" w:styleId="ListLabel19">
    <w:name w:val="ListLabel 19"/>
    <w:qFormat/>
    <w:rPr>
      <w:rFonts w:ascii="Arial" w:hAnsi="Arial"/>
      <w:b/>
      <w:sz w:val="24"/>
      <w:u w:val="none"/>
    </w:rPr>
  </w:style>
  <w:style w:type="character" w:styleId="ListLabel20">
    <w:name w:val="ListLabel 20"/>
    <w:qFormat/>
    <w:rPr>
      <w:u w:val="none"/>
    </w:rPr>
  </w:style>
  <w:style w:type="character" w:styleId="ListLabel21">
    <w:name w:val="ListLabel 21"/>
    <w:qFormat/>
    <w:rPr>
      <w:u w:val="none"/>
    </w:rPr>
  </w:style>
  <w:style w:type="character" w:styleId="ListLabel22">
    <w:name w:val="ListLabel 22"/>
    <w:qFormat/>
    <w:rPr>
      <w:u w:val="none"/>
    </w:rPr>
  </w:style>
  <w:style w:type="character" w:styleId="ListLabel23">
    <w:name w:val="ListLabel 23"/>
    <w:qFormat/>
    <w:rPr>
      <w:u w:val="none"/>
    </w:rPr>
  </w:style>
  <w:style w:type="character" w:styleId="ListLabel24">
    <w:name w:val="ListLabel 24"/>
    <w:qFormat/>
    <w:rPr>
      <w:u w:val="none"/>
    </w:rPr>
  </w:style>
  <w:style w:type="character" w:styleId="ListLabel25">
    <w:name w:val="ListLabel 25"/>
    <w:qFormat/>
    <w:rPr>
      <w:u w:val="none"/>
    </w:rPr>
  </w:style>
  <w:style w:type="character" w:styleId="ListLabel26">
    <w:name w:val="ListLabel 26"/>
    <w:qFormat/>
    <w:rPr>
      <w:u w:val="none"/>
    </w:rPr>
  </w:style>
  <w:style w:type="character" w:styleId="ListLabel27">
    <w:name w:val="ListLabel 27"/>
    <w:qFormat/>
    <w:rPr>
      <w:u w:val="none"/>
    </w:rPr>
  </w:style>
  <w:style w:type="character" w:styleId="ListLabel28">
    <w:name w:val="ListLabel 28"/>
    <w:qFormat/>
    <w:rPr>
      <w:rFonts w:ascii="Arial" w:hAnsi="Arial"/>
      <w:sz w:val="24"/>
      <w:u w:val="none"/>
    </w:rPr>
  </w:style>
  <w:style w:type="character" w:styleId="ListLabel29">
    <w:name w:val="ListLabel 29"/>
    <w:qFormat/>
    <w:rPr>
      <w:u w:val="none"/>
    </w:rPr>
  </w:style>
  <w:style w:type="character" w:styleId="ListLabel30">
    <w:name w:val="ListLabel 30"/>
    <w:qFormat/>
    <w:rPr>
      <w:u w:val="none"/>
    </w:rPr>
  </w:style>
  <w:style w:type="character" w:styleId="ListLabel31">
    <w:name w:val="ListLabel 31"/>
    <w:qFormat/>
    <w:rPr>
      <w:u w:val="none"/>
    </w:rPr>
  </w:style>
  <w:style w:type="character" w:styleId="ListLabel32">
    <w:name w:val="ListLabel 32"/>
    <w:qFormat/>
    <w:rPr>
      <w:u w:val="none"/>
    </w:rPr>
  </w:style>
  <w:style w:type="character" w:styleId="ListLabel33">
    <w:name w:val="ListLabel 33"/>
    <w:qFormat/>
    <w:rPr>
      <w:u w:val="none"/>
    </w:rPr>
  </w:style>
  <w:style w:type="character" w:styleId="ListLabel34">
    <w:name w:val="ListLabel 34"/>
    <w:qFormat/>
    <w:rPr>
      <w:u w:val="none"/>
    </w:rPr>
  </w:style>
  <w:style w:type="character" w:styleId="ListLabel35">
    <w:name w:val="ListLabel 35"/>
    <w:qFormat/>
    <w:rPr>
      <w:u w:val="none"/>
    </w:rPr>
  </w:style>
  <w:style w:type="character" w:styleId="ListLabel36">
    <w:name w:val="ListLabel 36"/>
    <w:qFormat/>
    <w:rPr>
      <w:u w:val="none"/>
    </w:rPr>
  </w:style>
  <w:style w:type="character" w:styleId="ListLabel37">
    <w:name w:val="ListLabel 37"/>
    <w:qFormat/>
    <w:rPr>
      <w:rFonts w:ascii="Arial" w:hAnsi="Arial"/>
      <w:sz w:val="24"/>
      <w:u w:val="none"/>
    </w:rPr>
  </w:style>
  <w:style w:type="character" w:styleId="ListLabel38">
    <w:name w:val="ListLabel 38"/>
    <w:qFormat/>
    <w:rPr>
      <w:u w:val="none"/>
    </w:rPr>
  </w:style>
  <w:style w:type="character" w:styleId="ListLabel39">
    <w:name w:val="ListLabel 39"/>
    <w:qFormat/>
    <w:rPr>
      <w:u w:val="none"/>
    </w:rPr>
  </w:style>
  <w:style w:type="character" w:styleId="ListLabel40">
    <w:name w:val="ListLabel 40"/>
    <w:qFormat/>
    <w:rPr>
      <w:u w:val="none"/>
    </w:rPr>
  </w:style>
  <w:style w:type="character" w:styleId="ListLabel41">
    <w:name w:val="ListLabel 41"/>
    <w:qFormat/>
    <w:rPr>
      <w:u w:val="none"/>
    </w:rPr>
  </w:style>
  <w:style w:type="character" w:styleId="ListLabel42">
    <w:name w:val="ListLabel 42"/>
    <w:qFormat/>
    <w:rPr>
      <w:u w:val="none"/>
    </w:rPr>
  </w:style>
  <w:style w:type="character" w:styleId="ListLabel43">
    <w:name w:val="ListLabel 43"/>
    <w:qFormat/>
    <w:rPr>
      <w:u w:val="none"/>
    </w:rPr>
  </w:style>
  <w:style w:type="character" w:styleId="ListLabel44">
    <w:name w:val="ListLabel 44"/>
    <w:qFormat/>
    <w:rPr>
      <w:u w:val="none"/>
    </w:rPr>
  </w:style>
  <w:style w:type="character" w:styleId="ListLabel45">
    <w:name w:val="ListLabel 45"/>
    <w:qFormat/>
    <w:rPr>
      <w:u w:val="none"/>
    </w:rPr>
  </w:style>
  <w:style w:type="character" w:styleId="ListLabel46">
    <w:name w:val="ListLabel 46"/>
    <w:qFormat/>
    <w:rPr>
      <w:rFonts w:ascii="Arial" w:hAnsi="Arial"/>
      <w:b/>
      <w:sz w:val="24"/>
      <w:u w:val="none"/>
    </w:rPr>
  </w:style>
  <w:style w:type="character" w:styleId="ListLabel47">
    <w:name w:val="ListLabel 47"/>
    <w:qFormat/>
    <w:rPr>
      <w:u w:val="none"/>
    </w:rPr>
  </w:style>
  <w:style w:type="character" w:styleId="ListLabel48">
    <w:name w:val="ListLabel 48"/>
    <w:qFormat/>
    <w:rPr>
      <w:u w:val="none"/>
    </w:rPr>
  </w:style>
  <w:style w:type="character" w:styleId="ListLabel49">
    <w:name w:val="ListLabel 49"/>
    <w:qFormat/>
    <w:rPr>
      <w:u w:val="none"/>
    </w:rPr>
  </w:style>
  <w:style w:type="character" w:styleId="ListLabel50">
    <w:name w:val="ListLabel 50"/>
    <w:qFormat/>
    <w:rPr>
      <w:u w:val="none"/>
    </w:rPr>
  </w:style>
  <w:style w:type="character" w:styleId="ListLabel51">
    <w:name w:val="ListLabel 51"/>
    <w:qFormat/>
    <w:rPr>
      <w:u w:val="none"/>
    </w:rPr>
  </w:style>
  <w:style w:type="character" w:styleId="ListLabel52">
    <w:name w:val="ListLabel 52"/>
    <w:qFormat/>
    <w:rPr>
      <w:u w:val="none"/>
    </w:rPr>
  </w:style>
  <w:style w:type="character" w:styleId="ListLabel53">
    <w:name w:val="ListLabel 53"/>
    <w:qFormat/>
    <w:rPr>
      <w:u w:val="none"/>
    </w:rPr>
  </w:style>
  <w:style w:type="character" w:styleId="ListLabel54">
    <w:name w:val="ListLabel 54"/>
    <w:qFormat/>
    <w:rPr>
      <w:u w:val="none"/>
    </w:rPr>
  </w:style>
  <w:style w:type="character" w:styleId="ListLabel55">
    <w:name w:val="ListLabel 55"/>
    <w:qFormat/>
    <w:rPr>
      <w:rFonts w:ascii="Arial" w:hAnsi="Arial"/>
      <w:b/>
      <w:sz w:val="24"/>
      <w:u w:val="none"/>
    </w:rPr>
  </w:style>
  <w:style w:type="character" w:styleId="ListLabel56">
    <w:name w:val="ListLabel 56"/>
    <w:qFormat/>
    <w:rPr>
      <w:u w:val="none"/>
    </w:rPr>
  </w:style>
  <w:style w:type="character" w:styleId="ListLabel57">
    <w:name w:val="ListLabel 57"/>
    <w:qFormat/>
    <w:rPr>
      <w:u w:val="none"/>
    </w:rPr>
  </w:style>
  <w:style w:type="character" w:styleId="ListLabel58">
    <w:name w:val="ListLabel 58"/>
    <w:qFormat/>
    <w:rPr>
      <w:u w:val="none"/>
    </w:rPr>
  </w:style>
  <w:style w:type="character" w:styleId="ListLabel59">
    <w:name w:val="ListLabel 59"/>
    <w:qFormat/>
    <w:rPr>
      <w:u w:val="none"/>
    </w:rPr>
  </w:style>
  <w:style w:type="character" w:styleId="ListLabel60">
    <w:name w:val="ListLabel 60"/>
    <w:qFormat/>
    <w:rPr>
      <w:u w:val="none"/>
    </w:rPr>
  </w:style>
  <w:style w:type="character" w:styleId="ListLabel61">
    <w:name w:val="ListLabel 61"/>
    <w:qFormat/>
    <w:rPr>
      <w:u w:val="none"/>
    </w:rPr>
  </w:style>
  <w:style w:type="character" w:styleId="ListLabel62">
    <w:name w:val="ListLabel 62"/>
    <w:qFormat/>
    <w:rPr>
      <w:u w:val="none"/>
    </w:rPr>
  </w:style>
  <w:style w:type="character" w:styleId="ListLabel63">
    <w:name w:val="ListLabel 63"/>
    <w:qFormat/>
    <w:rPr>
      <w:u w:val="none"/>
    </w:rPr>
  </w:style>
  <w:style w:type="character" w:styleId="ListLabel64">
    <w:name w:val="ListLabel 64"/>
    <w:qFormat/>
    <w:rPr>
      <w:rFonts w:ascii="Arial" w:hAnsi="Arial"/>
      <w:sz w:val="24"/>
      <w:u w:val="none"/>
    </w:rPr>
  </w:style>
  <w:style w:type="character" w:styleId="ListLabel65">
    <w:name w:val="ListLabel 65"/>
    <w:qFormat/>
    <w:rPr>
      <w:u w:val="none"/>
    </w:rPr>
  </w:style>
  <w:style w:type="character" w:styleId="ListLabel66">
    <w:name w:val="ListLabel 66"/>
    <w:qFormat/>
    <w:rPr>
      <w:u w:val="none"/>
    </w:rPr>
  </w:style>
  <w:style w:type="character" w:styleId="ListLabel67">
    <w:name w:val="ListLabel 67"/>
    <w:qFormat/>
    <w:rPr>
      <w:u w:val="none"/>
    </w:rPr>
  </w:style>
  <w:style w:type="character" w:styleId="ListLabel68">
    <w:name w:val="ListLabel 68"/>
    <w:qFormat/>
    <w:rPr>
      <w:u w:val="none"/>
    </w:rPr>
  </w:style>
  <w:style w:type="character" w:styleId="ListLabel69">
    <w:name w:val="ListLabel 69"/>
    <w:qFormat/>
    <w:rPr>
      <w:u w:val="none"/>
    </w:rPr>
  </w:style>
  <w:style w:type="character" w:styleId="ListLabel70">
    <w:name w:val="ListLabel 70"/>
    <w:qFormat/>
    <w:rPr>
      <w:u w:val="none"/>
    </w:rPr>
  </w:style>
  <w:style w:type="character" w:styleId="ListLabel71">
    <w:name w:val="ListLabel 71"/>
    <w:qFormat/>
    <w:rPr>
      <w:u w:val="none"/>
    </w:rPr>
  </w:style>
  <w:style w:type="character" w:styleId="ListLabel72">
    <w:name w:val="ListLabel 72"/>
    <w:qFormat/>
    <w:rPr>
      <w:u w:val="none"/>
    </w:rPr>
  </w:style>
  <w:style w:type="character" w:styleId="ListLabel73">
    <w:name w:val="ListLabel 73"/>
    <w:qFormat/>
    <w:rPr>
      <w:rFonts w:ascii="Arial" w:hAnsi="Arial"/>
      <w:b/>
      <w:color w:val="000000"/>
      <w:sz w:val="24"/>
      <w:szCs w:val="24"/>
      <w:u w:val="none"/>
    </w:rPr>
  </w:style>
  <w:style w:type="character" w:styleId="ListLabel74">
    <w:name w:val="ListLabel 74"/>
    <w:qFormat/>
    <w:rPr>
      <w:u w:val="none"/>
    </w:rPr>
  </w:style>
  <w:style w:type="character" w:styleId="ListLabel75">
    <w:name w:val="ListLabel 75"/>
    <w:qFormat/>
    <w:rPr>
      <w:u w:val="none"/>
    </w:rPr>
  </w:style>
  <w:style w:type="character" w:styleId="ListLabel76">
    <w:name w:val="ListLabel 76"/>
    <w:qFormat/>
    <w:rPr>
      <w:u w:val="none"/>
    </w:rPr>
  </w:style>
  <w:style w:type="character" w:styleId="ListLabel77">
    <w:name w:val="ListLabel 77"/>
    <w:qFormat/>
    <w:rPr>
      <w:u w:val="none"/>
    </w:rPr>
  </w:style>
  <w:style w:type="character" w:styleId="ListLabel78">
    <w:name w:val="ListLabel 78"/>
    <w:qFormat/>
    <w:rPr>
      <w:u w:val="none"/>
    </w:rPr>
  </w:style>
  <w:style w:type="character" w:styleId="ListLabel79">
    <w:name w:val="ListLabel 79"/>
    <w:qFormat/>
    <w:rPr>
      <w:u w:val="none"/>
    </w:rPr>
  </w:style>
  <w:style w:type="character" w:styleId="ListLabel80">
    <w:name w:val="ListLabel 80"/>
    <w:qFormat/>
    <w:rPr>
      <w:u w:val="none"/>
    </w:rPr>
  </w:style>
  <w:style w:type="character" w:styleId="ListLabel81">
    <w:name w:val="ListLabel 81"/>
    <w:qFormat/>
    <w:rPr>
      <w:u w:val="none"/>
    </w:rPr>
  </w:style>
  <w:style w:type="character" w:styleId="ListLabel82">
    <w:name w:val="ListLabel 82"/>
    <w:qFormat/>
    <w:rPr>
      <w:rFonts w:ascii="Arial" w:hAnsi="Arial"/>
      <w:sz w:val="24"/>
      <w:u w:val="none"/>
    </w:rPr>
  </w:style>
  <w:style w:type="character" w:styleId="ListLabel83">
    <w:name w:val="ListLabel 83"/>
    <w:qFormat/>
    <w:rPr>
      <w:u w:val="none"/>
    </w:rPr>
  </w:style>
  <w:style w:type="character" w:styleId="ListLabel84">
    <w:name w:val="ListLabel 84"/>
    <w:qFormat/>
    <w:rPr>
      <w:u w:val="none"/>
    </w:rPr>
  </w:style>
  <w:style w:type="character" w:styleId="ListLabel85">
    <w:name w:val="ListLabel 85"/>
    <w:qFormat/>
    <w:rPr>
      <w:u w:val="none"/>
    </w:rPr>
  </w:style>
  <w:style w:type="character" w:styleId="ListLabel86">
    <w:name w:val="ListLabel 86"/>
    <w:qFormat/>
    <w:rPr>
      <w:u w:val="none"/>
    </w:rPr>
  </w:style>
  <w:style w:type="character" w:styleId="ListLabel87">
    <w:name w:val="ListLabel 87"/>
    <w:qFormat/>
    <w:rPr>
      <w:u w:val="none"/>
    </w:rPr>
  </w:style>
  <w:style w:type="character" w:styleId="ListLabel88">
    <w:name w:val="ListLabel 88"/>
    <w:qFormat/>
    <w:rPr>
      <w:u w:val="none"/>
    </w:rPr>
  </w:style>
  <w:style w:type="character" w:styleId="ListLabel89">
    <w:name w:val="ListLabel 89"/>
    <w:qFormat/>
    <w:rPr>
      <w:u w:val="none"/>
    </w:rPr>
  </w:style>
  <w:style w:type="character" w:styleId="ListLabel90">
    <w:name w:val="ListLabel 90"/>
    <w:qFormat/>
    <w:rPr>
      <w:u w:val="none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Roboto" w:hAnsi="Roboto" w:eastAsia="Roboto" w:cs="Roboto"/>
      <w:color w:val="666666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"/>
    <w:qFormat/>
    <w:pPr>
      <w:pageBreakBefore w:val="false"/>
      <w:spacing w:lineRule="auto" w:line="240" w:before="400" w:after="0"/>
    </w:pPr>
    <w:rPr>
      <w:color w:val="283592"/>
      <w:sz w:val="68"/>
      <w:szCs w:val="68"/>
    </w:rPr>
  </w:style>
  <w:style w:type="paragraph" w:styleId="Subttulo">
    <w:name w:val="Subtitle"/>
    <w:basedOn w:val="Normal1"/>
    <w:next w:val="Normal"/>
    <w:qFormat/>
    <w:pPr>
      <w:pageBreakBefore w:val="false"/>
    </w:pPr>
    <w:rPr>
      <w:color w:val="E01B84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pp.powerbi.com/view?r=eyJrIjoiZThlNGEyYTUtNGI5MS00Y2NkLWFiZmYtMjNjNmNlYzdiZTI4IiwidCI6ImNjZDk5MTdlLWNiNDctNDJhNS1hMjYyLWUyMjcyZGNlZjZhYiJ9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image" Target="media/image13.png"/><Relationship Id="rId16" Type="http://schemas.openxmlformats.org/officeDocument/2006/relationships/hyperlink" Target="https://renovajud.cnj.jus.br/conteudo-publico?iniciativa=1926" TargetMode="External"/><Relationship Id="rId17" Type="http://schemas.openxmlformats.org/officeDocument/2006/relationships/hyperlink" Target="https://renovajud.cnj.jus.br/conteudo-publico?iniciativa=1920" TargetMode="External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hyperlink" Target="https://atos.cnj.jus.br/atos/detalhar/1405" TargetMode="External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hyperlink" Target="https://atos.cnj.jus.br/atos/detalhar/3556" TargetMode="External"/><Relationship Id="rId25" Type="http://schemas.openxmlformats.org/officeDocument/2006/relationships/image" Target="media/image19.png"/><Relationship Id="rId26" Type="http://schemas.openxmlformats.org/officeDocument/2006/relationships/hyperlink" Target="https://www.trt4.jus.br/portais/trt4/modulos/noticias/51019831" TargetMode="External"/><Relationship Id="rId27" Type="http://schemas.openxmlformats.org/officeDocument/2006/relationships/hyperlink" Target="https://www.trt4.jus.br/portais/trt4/modulos/noticias/50999832" TargetMode="External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1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0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LibreOffice/5.4.3.2$Windows_x86 LibreOffice_project/92a7159f7e4af62137622921e809f8546db437e5</Application>
  <Pages>13</Pages>
  <Words>1360</Words>
  <Characters>7553</Characters>
  <CharactersWithSpaces>8674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2026-07-21T13:06:30Z</dcterms:modified>
  <cp:revision>1</cp:revision>
  <dc:subject/>
  <dc:title/>
</cp:coreProperties>
</file>